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D934" w14:textId="53AE95F0" w:rsidR="00780BFD" w:rsidRDefault="00780BFD" w:rsidP="00780BFD">
      <w:pPr>
        <w:tabs>
          <w:tab w:val="left" w:pos="3060"/>
        </w:tabs>
        <w:spacing w:before="120" w:after="120"/>
        <w:ind w:right="23"/>
        <w:jc w:val="right"/>
        <w:rPr>
          <w:b/>
        </w:rPr>
      </w:pPr>
      <w:bookmarkStart w:id="0" w:name="_GoBack"/>
      <w:bookmarkEnd w:id="0"/>
      <w:r>
        <w:rPr>
          <w:b/>
        </w:rPr>
        <w:t>Приложение 20</w:t>
      </w:r>
    </w:p>
    <w:p w14:paraId="11EF48FD" w14:textId="77777777" w:rsidR="00780BFD" w:rsidRDefault="00780BFD" w:rsidP="005259E1">
      <w:pPr>
        <w:tabs>
          <w:tab w:val="left" w:pos="3060"/>
        </w:tabs>
        <w:spacing w:before="120" w:after="120"/>
        <w:ind w:right="23"/>
        <w:jc w:val="center"/>
        <w:rPr>
          <w:b/>
        </w:rPr>
      </w:pPr>
    </w:p>
    <w:p w14:paraId="34CC9A77" w14:textId="08647BD5" w:rsidR="00252112" w:rsidRDefault="00761121" w:rsidP="005259E1">
      <w:pPr>
        <w:tabs>
          <w:tab w:val="left" w:pos="3060"/>
        </w:tabs>
        <w:spacing w:before="120" w:after="120"/>
        <w:ind w:right="23"/>
        <w:jc w:val="center"/>
        <w:rPr>
          <w:b/>
        </w:rPr>
      </w:pPr>
      <w:r w:rsidRPr="003C60F7">
        <w:rPr>
          <w:b/>
        </w:rPr>
        <w:t>ТЕХНИЧЕСКО ЗАДАНИЕ</w:t>
      </w:r>
    </w:p>
    <w:p w14:paraId="284E983B" w14:textId="77777777" w:rsidR="00761121" w:rsidRPr="003C60F7" w:rsidRDefault="00761121" w:rsidP="005259E1">
      <w:pPr>
        <w:tabs>
          <w:tab w:val="left" w:pos="3060"/>
        </w:tabs>
        <w:spacing w:before="120" w:after="120"/>
        <w:ind w:right="23"/>
      </w:pPr>
    </w:p>
    <w:p w14:paraId="6A32D078" w14:textId="0004E6D0" w:rsidR="006569FA" w:rsidRPr="0000542C" w:rsidRDefault="0000542C" w:rsidP="0000542C">
      <w:pPr>
        <w:spacing w:before="120" w:after="120" w:line="276" w:lineRule="auto"/>
        <w:ind w:firstLine="567"/>
        <w:jc w:val="both"/>
      </w:pPr>
      <w:r w:rsidRPr="003C60F7">
        <w:t xml:space="preserve">За </w:t>
      </w:r>
      <w:r>
        <w:t>изпълнение на</w:t>
      </w:r>
      <w:r w:rsidR="006569FA" w:rsidRPr="003C60F7">
        <w:t xml:space="preserve"> </w:t>
      </w:r>
      <w:r>
        <w:t>Поддейност 3.2. „</w:t>
      </w:r>
      <w:r w:rsidRPr="0000542C">
        <w:rPr>
          <w:b/>
        </w:rPr>
        <w:t>Обучение на учители, психолози и педагогически съветници за преподаване на знания и умения по дигитална грамотност – ключови дигитални умения – базови и за напреднали, нови технологии, продукти и програми, медийна грамотност, онлайн съдържание и поведение, и др. за повишаване дигиталната компетентност на учащите се</w:t>
      </w:r>
      <w:r>
        <w:t>“</w:t>
      </w:r>
      <w:r w:rsidR="006569FA" w:rsidRPr="003C60F7">
        <w:t xml:space="preserve"> по </w:t>
      </w:r>
      <w:r w:rsidRPr="003C60F7">
        <w:t xml:space="preserve">Проект </w:t>
      </w:r>
      <w:r w:rsidRPr="0000542C">
        <w:t>BG05M2OP001-2.012-0</w:t>
      </w:r>
      <w:r>
        <w:t>001</w:t>
      </w:r>
      <w:r w:rsidRPr="0000542C">
        <w:t xml:space="preserve"> </w:t>
      </w:r>
      <w:r>
        <w:t>„</w:t>
      </w:r>
      <w:r w:rsidRPr="0000542C">
        <w:t xml:space="preserve">Образование </w:t>
      </w:r>
      <w:r>
        <w:t>за утрешния ден</w:t>
      </w:r>
      <w:r w:rsidRPr="0000542C">
        <w:t>“,</w:t>
      </w:r>
      <w:r w:rsidRPr="003C60F7">
        <w:t xml:space="preserve"> </w:t>
      </w:r>
      <w:r w:rsidR="00902DB6" w:rsidRPr="0000542C">
        <w:t>финансиран от Оперативна програма „Наука и образование за интелигентен растеж“ 2014-2020</w:t>
      </w:r>
      <w:r w:rsidR="00075DE4" w:rsidRPr="0000542C">
        <w:t xml:space="preserve"> г.</w:t>
      </w:r>
      <w:r w:rsidR="00902DB6" w:rsidRPr="0000542C">
        <w:t>, съфинансиран от Европейския съюз чрез Европейските структурни и инвестиционни фондове</w:t>
      </w:r>
    </w:p>
    <w:p w14:paraId="3A747EE9" w14:textId="77777777" w:rsidR="003C0DE0" w:rsidRPr="003C60F7" w:rsidRDefault="003C0DE0" w:rsidP="005259E1">
      <w:pPr>
        <w:spacing w:before="120" w:after="120"/>
        <w:jc w:val="both"/>
      </w:pPr>
    </w:p>
    <w:p w14:paraId="7870C6D9" w14:textId="7E50F4B6" w:rsidR="006569FA" w:rsidRPr="003C60F7" w:rsidRDefault="006569FA" w:rsidP="005259E1">
      <w:pPr>
        <w:numPr>
          <w:ilvl w:val="0"/>
          <w:numId w:val="11"/>
        </w:numPr>
        <w:spacing w:before="120" w:after="120"/>
        <w:jc w:val="both"/>
        <w:rPr>
          <w:b/>
        </w:rPr>
      </w:pPr>
      <w:r w:rsidRPr="003C60F7">
        <w:rPr>
          <w:b/>
        </w:rPr>
        <w:t>П</w:t>
      </w:r>
      <w:r w:rsidR="003C0DE0" w:rsidRPr="003C60F7">
        <w:rPr>
          <w:b/>
        </w:rPr>
        <w:t xml:space="preserve">редмет на </w:t>
      </w:r>
      <w:r w:rsidR="00162317" w:rsidRPr="003C60F7">
        <w:rPr>
          <w:b/>
        </w:rPr>
        <w:t>възлагане</w:t>
      </w:r>
      <w:r w:rsidR="00B362E8" w:rsidRPr="003C60F7">
        <w:rPr>
          <w:b/>
        </w:rPr>
        <w:t>:</w:t>
      </w:r>
    </w:p>
    <w:p w14:paraId="53E7D641" w14:textId="0F1CCC1D" w:rsidR="0000542C" w:rsidRDefault="0000542C" w:rsidP="0000542C">
      <w:pPr>
        <w:spacing w:before="120" w:after="120" w:line="276" w:lineRule="auto"/>
        <w:ind w:firstLine="567"/>
        <w:jc w:val="both"/>
      </w:pPr>
      <w:r w:rsidRPr="0000542C">
        <w:t>Включва дейности по организиране и провеждане на обучения на педагог</w:t>
      </w:r>
      <w:r w:rsidR="002904E4">
        <w:t xml:space="preserve">ически </w:t>
      </w:r>
      <w:r w:rsidRPr="0000542C">
        <w:t>специалисти за</w:t>
      </w:r>
      <w:r w:rsidR="002904E4">
        <w:t xml:space="preserve"> </w:t>
      </w:r>
      <w:r w:rsidRPr="0000542C">
        <w:t>придобиване на компетентности,</w:t>
      </w:r>
      <w:r w:rsidR="002904E4">
        <w:t xml:space="preserve"> </w:t>
      </w:r>
      <w:r w:rsidRPr="0000542C">
        <w:t>които следва да водят до развиване на умения на учениците за работа с</w:t>
      </w:r>
      <w:r w:rsidR="002904E4">
        <w:t xml:space="preserve"> </w:t>
      </w:r>
      <w:r w:rsidRPr="0000542C">
        <w:t>дигитални устройства и в дигитална среда,</w:t>
      </w:r>
      <w:r w:rsidR="002904E4">
        <w:t xml:space="preserve"> </w:t>
      </w:r>
      <w:r w:rsidRPr="0000542C">
        <w:t>защита на дигитална идентичност и етично</w:t>
      </w:r>
      <w:r w:rsidR="002904E4">
        <w:t xml:space="preserve"> </w:t>
      </w:r>
      <w:r w:rsidRPr="0000542C">
        <w:t>поведение;</w:t>
      </w:r>
      <w:r w:rsidR="002904E4">
        <w:t xml:space="preserve"> </w:t>
      </w:r>
      <w:r w:rsidRPr="0000542C">
        <w:t>развиване на умения на учениците за работа в онлайн среда,</w:t>
      </w:r>
      <w:r w:rsidR="002904E4">
        <w:t xml:space="preserve"> </w:t>
      </w:r>
      <w:r w:rsidRPr="0000542C">
        <w:t>използване на онлайн</w:t>
      </w:r>
      <w:r w:rsidR="00D85086">
        <w:rPr>
          <w:lang w:val="en-GB"/>
        </w:rPr>
        <w:t xml:space="preserve"> </w:t>
      </w:r>
      <w:r w:rsidRPr="0000542C">
        <w:t>образователно съдържание (библиотеки, музеи, галерии),</w:t>
      </w:r>
      <w:r w:rsidR="00D85086">
        <w:rPr>
          <w:lang w:val="en-GB"/>
        </w:rPr>
        <w:t xml:space="preserve"> </w:t>
      </w:r>
      <w:r w:rsidRPr="0000542C">
        <w:t>използване на нови технологии за създаване на</w:t>
      </w:r>
      <w:r w:rsidR="00D85086">
        <w:rPr>
          <w:lang w:val="en-GB"/>
        </w:rPr>
        <w:t xml:space="preserve"> </w:t>
      </w:r>
      <w:r w:rsidRPr="0000542C">
        <w:t>дигитално съдържание (е-портфолио, блог и др.)</w:t>
      </w:r>
    </w:p>
    <w:p w14:paraId="0315097F" w14:textId="77777777" w:rsidR="00F81F66" w:rsidRDefault="00682823" w:rsidP="00682823">
      <w:pPr>
        <w:spacing w:before="120" w:after="120" w:line="276" w:lineRule="auto"/>
        <w:ind w:firstLine="567"/>
        <w:jc w:val="both"/>
      </w:pPr>
      <w:r>
        <w:t>В резултат на обучението всеки учител трябва да придобие компетентност да включва в обучението по</w:t>
      </w:r>
      <w:r w:rsidRPr="00682823">
        <w:t xml:space="preserve"> </w:t>
      </w:r>
      <w:r>
        <w:t>своя уч</w:t>
      </w:r>
      <w:r w:rsidR="00750E00">
        <w:t xml:space="preserve">ебен </w:t>
      </w:r>
      <w:r>
        <w:t>предмет дейности с учениците, които да развиват техните дигит</w:t>
      </w:r>
      <w:r w:rsidR="00750E00">
        <w:t xml:space="preserve">ални </w:t>
      </w:r>
      <w:r>
        <w:t>компетентности в контекста на</w:t>
      </w:r>
      <w:r w:rsidR="00750E00">
        <w:t xml:space="preserve"> </w:t>
      </w:r>
      <w:r>
        <w:t>изучаваното уч</w:t>
      </w:r>
      <w:r w:rsidR="00750E00">
        <w:t xml:space="preserve">ебно </w:t>
      </w:r>
      <w:r>
        <w:t>съдържание по съответния уч</w:t>
      </w:r>
      <w:r w:rsidR="00750E00">
        <w:t xml:space="preserve">ебен </w:t>
      </w:r>
      <w:r>
        <w:t>предмет.</w:t>
      </w:r>
    </w:p>
    <w:p w14:paraId="7B2C1B5B" w14:textId="46A76658" w:rsidR="0000542C" w:rsidRPr="000C108F" w:rsidRDefault="00682823" w:rsidP="00682823">
      <w:pPr>
        <w:spacing w:before="120" w:after="120" w:line="276" w:lineRule="auto"/>
        <w:ind w:firstLine="567"/>
        <w:jc w:val="both"/>
        <w:rPr>
          <w:lang w:val="en-US"/>
        </w:rPr>
      </w:pPr>
      <w:r>
        <w:t>На участниците с придобита компетентност в</w:t>
      </w:r>
      <w:r w:rsidR="00750E00">
        <w:t xml:space="preserve"> </w:t>
      </w:r>
      <w:r>
        <w:t>резултат на обучението се издават удостоверения за присъдени 2 квалифик</w:t>
      </w:r>
      <w:r w:rsidR="00750E00">
        <w:t xml:space="preserve">ационни </w:t>
      </w:r>
      <w:r>
        <w:t>кредити, съгласно</w:t>
      </w:r>
      <w:r w:rsidR="00750E00">
        <w:t xml:space="preserve"> </w:t>
      </w:r>
      <w:r>
        <w:t>разпоредбите на Наредба</w:t>
      </w:r>
      <w:r w:rsidR="00A35178">
        <w:rPr>
          <w:lang w:val="en-US"/>
        </w:rPr>
        <w:t xml:space="preserve"> </w:t>
      </w:r>
      <w:r w:rsidR="00F81F66">
        <w:rPr>
          <w:lang w:val="en-US"/>
        </w:rPr>
        <w:br/>
      </w:r>
      <w:r w:rsidR="00750E00" w:rsidRPr="00750E00">
        <w:t>№ 15</w:t>
      </w:r>
      <w:r w:rsidR="00F81F66">
        <w:t>/</w:t>
      </w:r>
      <w:r w:rsidR="00750E00" w:rsidRPr="00750E00">
        <w:t>22.07.2019 г. за статута и професионалното развитие на учителите, директорите и другите педагогически специалисти</w:t>
      </w:r>
      <w:r w:rsidR="00F81F66">
        <w:t>.</w:t>
      </w:r>
    </w:p>
    <w:p w14:paraId="1AF2DC48" w14:textId="63913897" w:rsidR="00ED03E6" w:rsidRPr="00682823" w:rsidRDefault="00922647" w:rsidP="00715D4B">
      <w:pPr>
        <w:numPr>
          <w:ilvl w:val="0"/>
          <w:numId w:val="11"/>
        </w:numPr>
        <w:spacing w:before="120" w:after="120"/>
        <w:jc w:val="both"/>
        <w:rPr>
          <w:b/>
        </w:rPr>
      </w:pPr>
      <w:bookmarkStart w:id="1" w:name="_Toc523906569"/>
      <w:r w:rsidRPr="00682823">
        <w:rPr>
          <w:b/>
        </w:rPr>
        <w:t>Допустима ц</w:t>
      </w:r>
      <w:r w:rsidR="00ED03E6" w:rsidRPr="00682823">
        <w:rPr>
          <w:b/>
        </w:rPr>
        <w:t xml:space="preserve">елева група </w:t>
      </w:r>
      <w:r w:rsidR="00715D4B">
        <w:rPr>
          <w:b/>
        </w:rPr>
        <w:t xml:space="preserve">при изпълнение на </w:t>
      </w:r>
      <w:r w:rsidR="00715D4B" w:rsidRPr="00715D4B">
        <w:rPr>
          <w:b/>
        </w:rPr>
        <w:t>Поддейност 3.2.</w:t>
      </w:r>
      <w:r w:rsidR="00ED03E6" w:rsidRPr="00682823">
        <w:rPr>
          <w:b/>
        </w:rPr>
        <w:t>:</w:t>
      </w:r>
    </w:p>
    <w:p w14:paraId="71F985BA" w14:textId="75D5220F" w:rsidR="00ED03E6" w:rsidRDefault="00ED03E6" w:rsidP="00E3376E">
      <w:pPr>
        <w:spacing w:before="120" w:after="120" w:line="276" w:lineRule="auto"/>
        <w:ind w:firstLine="567"/>
        <w:jc w:val="both"/>
      </w:pPr>
      <w:r w:rsidRPr="003C60F7">
        <w:t>Педагогически специалисти, които работят в системата на предучилищното и училищното образование</w:t>
      </w:r>
      <w:r w:rsidR="00F81F66" w:rsidRPr="00F81F66">
        <w:t xml:space="preserve"> </w:t>
      </w:r>
      <w:r w:rsidR="00F81F66">
        <w:t>–</w:t>
      </w:r>
      <w:r w:rsidR="00F81F66" w:rsidRPr="00F81F66">
        <w:t xml:space="preserve"> учители от начален, прогимназиален и гимназиални етапи по всички общообразователни учебни предмети, ресурсни учители, психолози и педагогически съветници</w:t>
      </w:r>
      <w:r w:rsidR="00613BEB">
        <w:t>,</w:t>
      </w:r>
      <w:r w:rsidR="00F81F66" w:rsidRPr="00F81F66">
        <w:t xml:space="preserve"> с изключение на учителите, които преподават информатика и/или информационни технологии</w:t>
      </w:r>
      <w:r w:rsidRPr="003C60F7">
        <w:t>.</w:t>
      </w:r>
      <w:bookmarkEnd w:id="1"/>
    </w:p>
    <w:p w14:paraId="0C888799" w14:textId="3E9D66B7" w:rsidR="00613BEB" w:rsidRPr="003C60F7" w:rsidRDefault="00613BEB" w:rsidP="00E3376E">
      <w:pPr>
        <w:spacing w:before="120" w:after="120" w:line="276" w:lineRule="auto"/>
        <w:ind w:firstLine="567"/>
        <w:jc w:val="both"/>
      </w:pPr>
      <w:r>
        <w:t xml:space="preserve">Обученията трябва да се организират в групи, съобразени със спецификата на обучението по съответния учебен предмет или група учебни предмети. </w:t>
      </w:r>
    </w:p>
    <w:p w14:paraId="6523AB13" w14:textId="77777777" w:rsidR="00682823" w:rsidRPr="0074242D" w:rsidRDefault="00682823" w:rsidP="00E3376E">
      <w:pPr>
        <w:spacing w:line="276" w:lineRule="auto"/>
        <w:ind w:firstLine="720"/>
        <w:jc w:val="both"/>
        <w:rPr>
          <w:rFonts w:eastAsia="Calibri"/>
          <w:szCs w:val="22"/>
          <w:lang w:bidi="bg-BG"/>
        </w:rPr>
      </w:pPr>
      <w:r w:rsidRPr="0074242D">
        <w:rPr>
          <w:rFonts w:eastAsia="Calibri"/>
          <w:szCs w:val="22"/>
          <w:lang w:bidi="bg-BG"/>
        </w:rPr>
        <w:t>Формират се следните групи за обучение:</w:t>
      </w:r>
    </w:p>
    <w:p w14:paraId="2466DFC1" w14:textId="5F6D84DC" w:rsidR="00682823" w:rsidRPr="0074242D" w:rsidRDefault="00682823" w:rsidP="00E3376E">
      <w:pPr>
        <w:spacing w:line="276" w:lineRule="auto"/>
        <w:ind w:firstLine="720"/>
        <w:jc w:val="both"/>
        <w:rPr>
          <w:rFonts w:eastAsia="Calibri"/>
          <w:szCs w:val="22"/>
          <w:lang w:bidi="bg-BG"/>
        </w:rPr>
      </w:pPr>
      <w:r w:rsidRPr="0074242D">
        <w:rPr>
          <w:rFonts w:eastAsia="Calibri"/>
          <w:szCs w:val="22"/>
          <w:lang w:bidi="bg-BG"/>
        </w:rPr>
        <w:t>1. учители от ДГ и в начален етап</w:t>
      </w:r>
      <w:r w:rsidRPr="0074242D">
        <w:rPr>
          <w:rFonts w:eastAsia="Calibri"/>
          <w:szCs w:val="22"/>
          <w:lang w:bidi="bg-BG"/>
        </w:rPr>
        <w:tab/>
      </w:r>
    </w:p>
    <w:p w14:paraId="19A2BF84" w14:textId="078EE2FD" w:rsidR="00682823" w:rsidRPr="0074242D" w:rsidRDefault="00682823" w:rsidP="00E3376E">
      <w:pPr>
        <w:spacing w:line="276" w:lineRule="auto"/>
        <w:ind w:firstLine="720"/>
        <w:jc w:val="both"/>
        <w:rPr>
          <w:rFonts w:eastAsia="Calibri"/>
          <w:szCs w:val="22"/>
          <w:lang w:bidi="bg-BG"/>
        </w:rPr>
      </w:pPr>
      <w:r w:rsidRPr="0074242D">
        <w:rPr>
          <w:rFonts w:eastAsia="Calibri"/>
          <w:szCs w:val="22"/>
          <w:lang w:bidi="bg-BG"/>
        </w:rPr>
        <w:lastRenderedPageBreak/>
        <w:t>2. учители в прогимназиален и гимназиален етап по български език и литература, чужд език,</w:t>
      </w:r>
      <w:r>
        <w:rPr>
          <w:rFonts w:eastAsia="Calibri"/>
          <w:szCs w:val="22"/>
          <w:lang w:bidi="bg-BG"/>
        </w:rPr>
        <w:t xml:space="preserve"> история и цивилизации,</w:t>
      </w:r>
      <w:r w:rsidRPr="0074242D">
        <w:rPr>
          <w:rFonts w:eastAsia="Calibri"/>
          <w:szCs w:val="22"/>
          <w:lang w:bidi="bg-BG"/>
        </w:rPr>
        <w:t xml:space="preserve"> философия, музика, изобразително изкуство.</w:t>
      </w:r>
    </w:p>
    <w:p w14:paraId="1399DA9C" w14:textId="385D51CE" w:rsidR="00682823" w:rsidRPr="0074242D" w:rsidRDefault="00682823" w:rsidP="00E3376E">
      <w:pPr>
        <w:spacing w:line="276" w:lineRule="auto"/>
        <w:ind w:firstLine="720"/>
        <w:jc w:val="both"/>
        <w:rPr>
          <w:rFonts w:eastAsia="Calibri"/>
          <w:szCs w:val="22"/>
          <w:lang w:bidi="bg-BG"/>
        </w:rPr>
      </w:pPr>
      <w:r w:rsidRPr="0074242D">
        <w:rPr>
          <w:rFonts w:eastAsia="Calibri"/>
          <w:szCs w:val="22"/>
          <w:lang w:bidi="bg-BG"/>
        </w:rPr>
        <w:t>3. учители в прогимназиален и гимназиален етап по природни науки</w:t>
      </w:r>
      <w:r w:rsidR="00715D4B">
        <w:rPr>
          <w:rFonts w:eastAsia="Calibri"/>
          <w:szCs w:val="22"/>
          <w:lang w:bidi="bg-BG"/>
        </w:rPr>
        <w:t>,</w:t>
      </w:r>
      <w:r w:rsidRPr="0074242D">
        <w:rPr>
          <w:rFonts w:eastAsia="Calibri"/>
          <w:szCs w:val="22"/>
          <w:lang w:bidi="bg-BG"/>
        </w:rPr>
        <w:t xml:space="preserve"> по математика, физика и астрономия, химия и опазване на околната среда, биология и здравно образование, география и икономика, технологии и предприемачество, физическо възпитание.</w:t>
      </w:r>
    </w:p>
    <w:p w14:paraId="10645A3B" w14:textId="77777777" w:rsidR="00682823" w:rsidRPr="0074242D" w:rsidRDefault="00682823" w:rsidP="00E3376E">
      <w:pPr>
        <w:spacing w:line="276" w:lineRule="auto"/>
        <w:ind w:firstLine="720"/>
        <w:jc w:val="both"/>
        <w:rPr>
          <w:rFonts w:eastAsia="Calibri"/>
          <w:szCs w:val="22"/>
          <w:lang w:bidi="bg-BG"/>
        </w:rPr>
      </w:pPr>
      <w:r w:rsidRPr="0074242D">
        <w:rPr>
          <w:rFonts w:eastAsia="Calibri"/>
          <w:szCs w:val="22"/>
          <w:lang w:bidi="bg-BG"/>
        </w:rPr>
        <w:t>В горепосочените групи могат да се включат и останалите педагогически специалисти.</w:t>
      </w:r>
    </w:p>
    <w:p w14:paraId="78A83424" w14:textId="77777777" w:rsidR="00195B79" w:rsidRPr="003C60F7" w:rsidRDefault="00195B79" w:rsidP="00654370">
      <w:pPr>
        <w:spacing w:before="120" w:after="120"/>
        <w:jc w:val="both"/>
      </w:pPr>
    </w:p>
    <w:p w14:paraId="67E537AC" w14:textId="2B0DA179" w:rsidR="00A52B60" w:rsidRPr="003C60F7" w:rsidRDefault="000C108F" w:rsidP="005259E1">
      <w:pPr>
        <w:spacing w:before="120" w:after="120"/>
        <w:ind w:firstLine="567"/>
        <w:jc w:val="both"/>
        <w:rPr>
          <w:b/>
        </w:rPr>
      </w:pPr>
      <w:r>
        <w:rPr>
          <w:b/>
          <w:lang w:val="en-US"/>
        </w:rPr>
        <w:t>I</w:t>
      </w:r>
      <w:r w:rsidR="00A21A8F" w:rsidRPr="003C60F7">
        <w:rPr>
          <w:b/>
        </w:rPr>
        <w:t>II. Начин на формиране на стойността на обученията</w:t>
      </w:r>
      <w:r w:rsidR="00B859C9" w:rsidRPr="003C60F7">
        <w:rPr>
          <w:b/>
        </w:rPr>
        <w:t>:</w:t>
      </w:r>
    </w:p>
    <w:p w14:paraId="7433C1D9" w14:textId="35B86154" w:rsidR="003F79E4" w:rsidRDefault="00A21A8F" w:rsidP="00027D9B">
      <w:pPr>
        <w:spacing w:before="120" w:after="120" w:line="276" w:lineRule="auto"/>
        <w:ind w:firstLine="567"/>
        <w:jc w:val="both"/>
      </w:pPr>
      <w:r w:rsidRPr="003C60F7">
        <w:t>Стойността на обучение</w:t>
      </w:r>
      <w:r w:rsidR="003F79E4">
        <w:t xml:space="preserve">то и на съпътстващата го логистика се определя от </w:t>
      </w:r>
      <w:r w:rsidR="0060529D">
        <w:t>офертата</w:t>
      </w:r>
      <w:r w:rsidR="003F79E4">
        <w:t xml:space="preserve"> на изпълнителя</w:t>
      </w:r>
      <w:r w:rsidR="0055167A">
        <w:t xml:space="preserve">, като при преценката дали да приемат предложените цени на </w:t>
      </w:r>
      <w:r w:rsidR="0060529D">
        <w:t xml:space="preserve">обучението възложителите </w:t>
      </w:r>
      <w:r w:rsidR="0055167A">
        <w:t>се съобразяват със следните обстоятелства</w:t>
      </w:r>
      <w:r w:rsidR="003F79E4">
        <w:t xml:space="preserve">. </w:t>
      </w:r>
    </w:p>
    <w:p w14:paraId="5F959F38" w14:textId="1FE46BF6" w:rsidR="00A21A8F" w:rsidRDefault="003F79E4" w:rsidP="00027D9B">
      <w:pPr>
        <w:spacing w:before="120" w:after="120" w:line="276" w:lineRule="auto"/>
        <w:ind w:firstLine="567"/>
        <w:jc w:val="both"/>
      </w:pPr>
      <w:r w:rsidRPr="003F79E4">
        <w:t>Проект BG05M2OP001-2.012-0001 „Образование за утрешния ден“</w:t>
      </w:r>
      <w:r>
        <w:t xml:space="preserve"> финансира </w:t>
      </w:r>
      <w:r w:rsidR="0055167A">
        <w:t xml:space="preserve">разходите </w:t>
      </w:r>
      <w:r w:rsidR="00A21A8F" w:rsidRPr="003C60F7">
        <w:t xml:space="preserve">въз основа </w:t>
      </w:r>
      <w:r w:rsidR="0055167A">
        <w:t xml:space="preserve">на </w:t>
      </w:r>
      <w:r w:rsidR="00A21A8F" w:rsidRPr="003C60F7">
        <w:t>общия брой обучени лица по единичния разход, определен за един обучаем.</w:t>
      </w:r>
      <w:r w:rsidR="0014604E" w:rsidRPr="003C60F7">
        <w:t xml:space="preserve"> </w:t>
      </w:r>
    </w:p>
    <w:p w14:paraId="5ABDE19E" w14:textId="56ACB975" w:rsidR="002A4C80" w:rsidRPr="003C60F7" w:rsidRDefault="00A52B60" w:rsidP="00027D9B">
      <w:pPr>
        <w:spacing w:before="120" w:after="120" w:line="276" w:lineRule="auto"/>
        <w:ind w:firstLine="567"/>
        <w:jc w:val="both"/>
        <w:rPr>
          <w:b/>
        </w:rPr>
      </w:pPr>
      <w:r w:rsidRPr="003C60F7">
        <w:t>Единични</w:t>
      </w:r>
      <w:r w:rsidR="0014604E" w:rsidRPr="003C60F7">
        <w:t>ят</w:t>
      </w:r>
      <w:r w:rsidRPr="003C60F7">
        <w:t xml:space="preserve"> разход </w:t>
      </w:r>
      <w:r w:rsidR="0014604E" w:rsidRPr="003C60F7">
        <w:t xml:space="preserve">се определя по видове обучения за присъждане на квалификационен кредит </w:t>
      </w:r>
      <w:r w:rsidRPr="003C60F7">
        <w:t>за един успешно обучен педагогически специалист</w:t>
      </w:r>
      <w:r w:rsidR="0014604E" w:rsidRPr="003C60F7">
        <w:t xml:space="preserve"> на база </w:t>
      </w:r>
      <w:r w:rsidRPr="003C60F7">
        <w:t>стандартна</w:t>
      </w:r>
      <w:r w:rsidR="0014604E" w:rsidRPr="003C60F7">
        <w:t xml:space="preserve"> таблица на единичните разходи</w:t>
      </w:r>
      <w:r w:rsidR="003864D5" w:rsidRPr="003C60F7">
        <w:t>, ка</w:t>
      </w:r>
      <w:r w:rsidR="0055167A">
        <w:t xml:space="preserve">то в случая, доколкото обучението е насочено към </w:t>
      </w:r>
      <w:r w:rsidR="0055167A" w:rsidRPr="003C60F7">
        <w:t>присъжда</w:t>
      </w:r>
      <w:r w:rsidR="0055167A">
        <w:t>не на</w:t>
      </w:r>
      <w:r w:rsidR="0055167A" w:rsidRPr="003C60F7">
        <w:t xml:space="preserve"> </w:t>
      </w:r>
      <w:r w:rsidR="0055167A">
        <w:t>2</w:t>
      </w:r>
      <w:r w:rsidR="0055167A" w:rsidRPr="003C60F7">
        <w:t xml:space="preserve"> квалификационни кредита, съгласно 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="0055167A">
        <w:t>, разходът е следният:</w:t>
      </w:r>
    </w:p>
    <w:p w14:paraId="2261E9E4" w14:textId="18B5A0E6" w:rsidR="002B1BE2" w:rsidRPr="003C60F7" w:rsidRDefault="002B1BE2" w:rsidP="00027D9B">
      <w:pPr>
        <w:pStyle w:val="ListParagraph"/>
        <w:numPr>
          <w:ilvl w:val="0"/>
          <w:numId w:val="13"/>
        </w:numPr>
        <w:spacing w:before="120" w:after="120"/>
        <w:ind w:left="0" w:firstLine="567"/>
        <w:jc w:val="both"/>
        <w:rPr>
          <w:lang w:val="bg-BG"/>
        </w:rPr>
      </w:pPr>
      <w:r w:rsidRPr="003C60F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единичен разход за обучение от </w:t>
      </w:r>
      <w:r w:rsidRPr="004803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EA58CE" w:rsidRPr="004803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74</w:t>
      </w:r>
      <w:r w:rsidRPr="004803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лв.</w:t>
      </w:r>
      <w:r w:rsidRPr="003C60F7">
        <w:rPr>
          <w:rFonts w:ascii="Times New Roman" w:eastAsia="Times New Roman" w:hAnsi="Times New Roman"/>
          <w:sz w:val="24"/>
          <w:szCs w:val="24"/>
          <w:lang w:val="bg-BG" w:eastAsia="bg-BG"/>
        </w:rPr>
        <w:t>, включващ: материали и пособия; възнаграждение на лектора за 32 академични часа; дневни, пътни и квартирни на лектора; дневни, пътни и квартирни на обучаем.</w:t>
      </w:r>
    </w:p>
    <w:p w14:paraId="53FA82D3" w14:textId="5166386A" w:rsidR="00263259" w:rsidRPr="003C60F7" w:rsidRDefault="00263259" w:rsidP="00027D9B">
      <w:pPr>
        <w:pStyle w:val="Default"/>
        <w:spacing w:after="169" w:line="276" w:lineRule="auto"/>
        <w:ind w:firstLine="567"/>
        <w:jc w:val="both"/>
        <w:rPr>
          <w:color w:val="auto"/>
        </w:rPr>
      </w:pPr>
      <w:r w:rsidRPr="003C60F7">
        <w:t>*</w:t>
      </w:r>
      <w:r w:rsidRPr="003C60F7">
        <w:rPr>
          <w:b/>
          <w:color w:val="auto"/>
        </w:rPr>
        <w:t xml:space="preserve"> </w:t>
      </w:r>
      <w:r w:rsidR="003202FF" w:rsidRPr="003C60F7">
        <w:rPr>
          <w:color w:val="auto"/>
        </w:rPr>
        <w:t>п</w:t>
      </w:r>
      <w:r w:rsidRPr="003C60F7">
        <w:rPr>
          <w:color w:val="auto"/>
        </w:rPr>
        <w:t>од дневни на обучаемия следва да се разбира разходът за организирането на</w:t>
      </w:r>
      <w:r w:rsidRPr="003C60F7">
        <w:t xml:space="preserve"> </w:t>
      </w:r>
      <w:r w:rsidRPr="003C60F7">
        <w:rPr>
          <w:color w:val="auto"/>
        </w:rPr>
        <w:t xml:space="preserve">поне една кафе-пауза, осигурена с минерална вода, кафе, чай, безалкохолни напитки, дребни сладки и соленки, както и поне едно зареждане на залата с минерална вода. </w:t>
      </w:r>
    </w:p>
    <w:p w14:paraId="238C1DF6" w14:textId="598F1060" w:rsidR="00027D9B" w:rsidRDefault="00263259" w:rsidP="00027D9B">
      <w:pPr>
        <w:pStyle w:val="Default"/>
        <w:spacing w:after="169" w:line="276" w:lineRule="auto"/>
        <w:ind w:firstLine="567"/>
        <w:jc w:val="both"/>
        <w:rPr>
          <w:color w:val="auto"/>
        </w:rPr>
      </w:pPr>
      <w:r w:rsidRPr="003C60F7">
        <w:rPr>
          <w:b/>
          <w:color w:val="auto"/>
        </w:rPr>
        <w:t>*</w:t>
      </w:r>
      <w:r w:rsidR="002B1BE2" w:rsidRPr="003C60F7">
        <w:rPr>
          <w:color w:val="auto"/>
        </w:rPr>
        <w:t xml:space="preserve"> </w:t>
      </w:r>
      <w:r w:rsidR="003202FF" w:rsidRPr="003C60F7">
        <w:rPr>
          <w:color w:val="auto"/>
        </w:rPr>
        <w:t>п</w:t>
      </w:r>
      <w:r w:rsidRPr="003C60F7">
        <w:rPr>
          <w:color w:val="auto"/>
        </w:rPr>
        <w:t xml:space="preserve">од </w:t>
      </w:r>
      <w:r w:rsidRPr="003C60F7">
        <w:t>пътни на обучаемия</w:t>
      </w:r>
      <w:r w:rsidRPr="003C60F7">
        <w:rPr>
          <w:color w:val="auto"/>
        </w:rPr>
        <w:t xml:space="preserve"> следва да се разбира разходът, който </w:t>
      </w:r>
      <w:r w:rsidRPr="003C60F7">
        <w:rPr>
          <w:b/>
          <w:color w:val="auto"/>
        </w:rPr>
        <w:t>ИЗПЪЛНИТЕЛЯТ</w:t>
      </w:r>
      <w:r w:rsidRPr="003C60F7">
        <w:rPr>
          <w:color w:val="auto"/>
        </w:rPr>
        <w:t xml:space="preserve"> се задължава да изплати на всяко обучаемо лице, което пътува от населено място, различно от населеното място, където се провежда обучението. </w:t>
      </w:r>
    </w:p>
    <w:p w14:paraId="7FA3C3D7" w14:textId="49697AAD" w:rsidR="00654370" w:rsidRPr="003C60F7" w:rsidRDefault="00654370" w:rsidP="00E3376E">
      <w:pPr>
        <w:spacing w:before="120" w:after="120" w:line="276" w:lineRule="auto"/>
        <w:ind w:firstLine="567"/>
        <w:jc w:val="both"/>
      </w:pPr>
    </w:p>
    <w:p w14:paraId="489D18E6" w14:textId="5A1787B1" w:rsidR="00CA3774" w:rsidRPr="003C60F7" w:rsidRDefault="00453214" w:rsidP="005259E1">
      <w:pPr>
        <w:spacing w:before="120" w:after="120"/>
        <w:ind w:firstLine="567"/>
        <w:jc w:val="both"/>
      </w:pPr>
      <w:r w:rsidRPr="003C60F7">
        <w:rPr>
          <w:b/>
        </w:rPr>
        <w:t>I</w:t>
      </w:r>
      <w:r w:rsidR="000C108F">
        <w:rPr>
          <w:b/>
          <w:lang w:val="en-US"/>
        </w:rPr>
        <w:t>V</w:t>
      </w:r>
      <w:r w:rsidRPr="003C60F7">
        <w:rPr>
          <w:b/>
        </w:rPr>
        <w:t xml:space="preserve">. </w:t>
      </w:r>
      <w:r w:rsidR="00252112" w:rsidRPr="003C60F7">
        <w:rPr>
          <w:b/>
        </w:rPr>
        <w:t xml:space="preserve">Форма на </w:t>
      </w:r>
      <w:r w:rsidRPr="003C60F7">
        <w:rPr>
          <w:b/>
        </w:rPr>
        <w:t xml:space="preserve">провеждане на </w:t>
      </w:r>
      <w:r w:rsidR="00252112" w:rsidRPr="003C60F7">
        <w:rPr>
          <w:b/>
        </w:rPr>
        <w:t>обученията</w:t>
      </w:r>
      <w:r w:rsidR="00B362E8" w:rsidRPr="003C60F7">
        <w:rPr>
          <w:b/>
        </w:rPr>
        <w:t>:</w:t>
      </w:r>
    </w:p>
    <w:p w14:paraId="679BB6C6" w14:textId="645A13F8" w:rsidR="00CA3774" w:rsidRPr="003C60F7" w:rsidRDefault="00210459" w:rsidP="00E3376E">
      <w:pPr>
        <w:spacing w:before="120" w:after="120" w:line="276" w:lineRule="auto"/>
        <w:ind w:firstLine="567"/>
        <w:jc w:val="both"/>
      </w:pPr>
      <w:r>
        <w:t>З</w:t>
      </w:r>
      <w:r w:rsidR="00CA3774" w:rsidRPr="003C60F7">
        <w:t>а 2 квалификационни кредита</w:t>
      </w:r>
      <w:r w:rsidR="00453214" w:rsidRPr="003C60F7">
        <w:t xml:space="preserve"> </w:t>
      </w:r>
      <w:r w:rsidR="001123C9" w:rsidRPr="003C60F7">
        <w:t>–</w:t>
      </w:r>
      <w:r w:rsidR="00CA3774" w:rsidRPr="003C60F7">
        <w:t xml:space="preserve"> </w:t>
      </w:r>
      <w:r w:rsidR="001123C9" w:rsidRPr="003C60F7">
        <w:t xml:space="preserve">32 академични часа, </w:t>
      </w:r>
      <w:r w:rsidR="00CA3774" w:rsidRPr="003C60F7">
        <w:t xml:space="preserve">присъствени минимум 16 </w:t>
      </w:r>
      <w:r w:rsidR="00285DF0" w:rsidRPr="003C60F7">
        <w:t>академични часа</w:t>
      </w:r>
      <w:r w:rsidR="00453214" w:rsidRPr="003C60F7">
        <w:t>.</w:t>
      </w:r>
    </w:p>
    <w:p w14:paraId="5DCB7CCF" w14:textId="77777777" w:rsidR="00BA2898" w:rsidRPr="003C60F7" w:rsidRDefault="00BA2898" w:rsidP="005259E1">
      <w:pPr>
        <w:spacing w:before="120" w:after="120"/>
        <w:ind w:firstLine="567"/>
        <w:jc w:val="both"/>
        <w:rPr>
          <w:u w:val="single"/>
        </w:rPr>
      </w:pPr>
    </w:p>
    <w:p w14:paraId="1A6B0DA4" w14:textId="53BD89DC" w:rsidR="00255326" w:rsidRPr="003C60F7" w:rsidRDefault="001E46F3" w:rsidP="005259E1">
      <w:pPr>
        <w:spacing w:before="120" w:after="120"/>
        <w:ind w:firstLine="567"/>
        <w:jc w:val="both"/>
        <w:rPr>
          <w:b/>
        </w:rPr>
      </w:pPr>
      <w:r w:rsidRPr="003C60F7">
        <w:rPr>
          <w:b/>
        </w:rPr>
        <w:t xml:space="preserve">V. </w:t>
      </w:r>
      <w:r w:rsidR="00924251" w:rsidRPr="003C60F7">
        <w:rPr>
          <w:b/>
        </w:rPr>
        <w:t>Изисквания по отношение на</w:t>
      </w:r>
      <w:r w:rsidR="00324CA9" w:rsidRPr="003C60F7">
        <w:rPr>
          <w:b/>
        </w:rPr>
        <w:t xml:space="preserve"> изпълнението</w:t>
      </w:r>
      <w:r w:rsidR="00B362E8" w:rsidRPr="003C60F7">
        <w:rPr>
          <w:b/>
        </w:rPr>
        <w:t>:</w:t>
      </w:r>
    </w:p>
    <w:p w14:paraId="17F70633" w14:textId="77777777" w:rsidR="00ED3605" w:rsidRPr="003C60F7" w:rsidRDefault="00ED3605" w:rsidP="005259E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Доставчици на услуги по обучения</w:t>
      </w:r>
      <w:r w:rsidR="00654370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B5A026" w14:textId="0478269B" w:rsidR="003B2126" w:rsidRPr="003C60F7" w:rsidRDefault="00D20451" w:rsidP="00E3376E">
      <w:pPr>
        <w:spacing w:before="120" w:after="120" w:line="276" w:lineRule="auto"/>
        <w:ind w:firstLine="567"/>
        <w:jc w:val="both"/>
      </w:pPr>
      <w:r w:rsidRPr="003C60F7">
        <w:lastRenderedPageBreak/>
        <w:t xml:space="preserve">Съгласно </w:t>
      </w:r>
      <w:r w:rsidR="00FB0F3A" w:rsidRPr="003C60F7">
        <w:t xml:space="preserve">приложимата </w:t>
      </w:r>
      <w:r w:rsidRPr="003C60F7">
        <w:t>нормативна уредба</w:t>
      </w:r>
      <w:r w:rsidR="00557F6C" w:rsidRPr="003C60F7">
        <w:t xml:space="preserve"> </w:t>
      </w:r>
      <w:r w:rsidR="003B2126" w:rsidRPr="003C60F7">
        <w:t>квалификация</w:t>
      </w:r>
      <w:r w:rsidRPr="003C60F7">
        <w:t>та</w:t>
      </w:r>
      <w:r w:rsidR="003B2126" w:rsidRPr="003C60F7">
        <w:t xml:space="preserve"> </w:t>
      </w:r>
      <w:r w:rsidR="00D600EA" w:rsidRPr="003C60F7">
        <w:t xml:space="preserve">на педагогическите специалисти </w:t>
      </w:r>
      <w:r w:rsidR="003B2126" w:rsidRPr="003C60F7">
        <w:t>се осъ</w:t>
      </w:r>
      <w:r w:rsidR="00324CA9" w:rsidRPr="003C60F7">
        <w:t>ществява по програми за обучения</w:t>
      </w:r>
      <w:r w:rsidR="003B2126" w:rsidRPr="003C60F7">
        <w:t xml:space="preserve"> от специализирани обслужващи звена</w:t>
      </w:r>
      <w:r w:rsidR="001E46F3" w:rsidRPr="003C60F7">
        <w:t xml:space="preserve">, </w:t>
      </w:r>
      <w:r w:rsidR="00FF119E" w:rsidRPr="003C60F7">
        <w:t xml:space="preserve">научни организации и висши училища, </w:t>
      </w:r>
      <w:r w:rsidR="00130313" w:rsidRPr="003C60F7">
        <w:t xml:space="preserve">както </w:t>
      </w:r>
      <w:r w:rsidR="00FF119E" w:rsidRPr="003C60F7">
        <w:t xml:space="preserve">и </w:t>
      </w:r>
      <w:r w:rsidR="001E46F3" w:rsidRPr="003C60F7">
        <w:t xml:space="preserve">от обучителни организации, включени в </w:t>
      </w:r>
      <w:r w:rsidR="003B2126" w:rsidRPr="003C60F7">
        <w:t xml:space="preserve">Информационния регистър на одобрените програми за повишаване на квалификацията </w:t>
      </w:r>
      <w:r w:rsidR="00D600EA" w:rsidRPr="003C60F7">
        <w:t>на педагогическите специалисти.</w:t>
      </w:r>
    </w:p>
    <w:p w14:paraId="24CDD8E7" w14:textId="77777777" w:rsidR="000071A9" w:rsidRPr="003C60F7" w:rsidRDefault="000071A9" w:rsidP="005259E1">
      <w:pPr>
        <w:spacing w:before="120" w:after="120"/>
        <w:ind w:firstLine="567"/>
        <w:jc w:val="both"/>
      </w:pPr>
    </w:p>
    <w:p w14:paraId="0806DC94" w14:textId="77777777" w:rsidR="00D44CFD" w:rsidRPr="003C60F7" w:rsidRDefault="00ED3605" w:rsidP="0065437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Начин на провеждане на обученията</w:t>
      </w:r>
      <w:r w:rsidR="00D44CFD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1FB366A" w14:textId="3A794315" w:rsidR="002A1B9D" w:rsidRPr="003C60F7" w:rsidRDefault="00705283" w:rsidP="00E3376E">
      <w:pPr>
        <w:spacing w:before="120" w:after="120" w:line="276" w:lineRule="auto"/>
        <w:ind w:firstLine="567"/>
        <w:jc w:val="both"/>
      </w:pPr>
      <w:r w:rsidRPr="003C60F7">
        <w:t>2.1.</w:t>
      </w:r>
      <w:r w:rsidR="003109F9" w:rsidRPr="003C60F7">
        <w:t xml:space="preserve"> </w:t>
      </w:r>
      <w:r w:rsidR="00ED3605" w:rsidRPr="003C60F7">
        <w:t xml:space="preserve">Обученията се провеждат в групи </w:t>
      </w:r>
      <w:r w:rsidR="003B2126" w:rsidRPr="003C60F7">
        <w:t xml:space="preserve">с максимален брой </w:t>
      </w:r>
      <w:r w:rsidR="00644EA2" w:rsidRPr="003C60F7">
        <w:t xml:space="preserve">до </w:t>
      </w:r>
      <w:r w:rsidR="003B2126" w:rsidRPr="003C60F7">
        <w:t>2</w:t>
      </w:r>
      <w:r w:rsidR="000C108F">
        <w:t>0</w:t>
      </w:r>
      <w:r w:rsidR="00252112" w:rsidRPr="003C60F7">
        <w:t xml:space="preserve"> човека</w:t>
      </w:r>
      <w:r w:rsidR="00ED3605" w:rsidRPr="003C60F7">
        <w:t>,</w:t>
      </w:r>
      <w:r w:rsidR="00252112" w:rsidRPr="003C60F7">
        <w:t xml:space="preserve"> с цел постигане на максимална ефективност. </w:t>
      </w:r>
      <w:r w:rsidR="00671544" w:rsidRPr="003C60F7">
        <w:t xml:space="preserve">Числеността на групите трябва да бъде съобразена с методиката за провеждане на обучението и разделянето по групи </w:t>
      </w:r>
      <w:r w:rsidR="00761121" w:rsidRPr="003C60F7">
        <w:t xml:space="preserve">за практическо отработване на казуси. </w:t>
      </w:r>
      <w:r w:rsidR="00210459">
        <w:t>Ф</w:t>
      </w:r>
      <w:r w:rsidR="003B2126" w:rsidRPr="003C60F7">
        <w:t>ормата на обучение, метода на провеждане на обучението и графикът</w:t>
      </w:r>
      <w:r w:rsidR="00DB3FB4" w:rsidRPr="003C60F7">
        <w:t>, както и в последствие наложили се промени по тях</w:t>
      </w:r>
      <w:r w:rsidR="00B93CF1" w:rsidRPr="003C60F7">
        <w:t>,</w:t>
      </w:r>
      <w:r w:rsidR="003B2126" w:rsidRPr="003C60F7">
        <w:t xml:space="preserve"> се утвърждава от</w:t>
      </w:r>
      <w:r w:rsidR="00554229" w:rsidRPr="003C60F7">
        <w:t xml:space="preserve"> ВЪЗЛОЖИТЕЛЯ</w:t>
      </w:r>
      <w:r w:rsidR="003B2126" w:rsidRPr="003C60F7">
        <w:t>.</w:t>
      </w:r>
      <w:r w:rsidR="00CA3774" w:rsidRPr="003C60F7">
        <w:rPr>
          <w:color w:val="FF0000"/>
        </w:rPr>
        <w:t xml:space="preserve"> </w:t>
      </w:r>
      <w:r w:rsidR="00CA3774" w:rsidRPr="003C60F7">
        <w:t>Работата в групи предполага представяне на добри педагогически практики, които да станат достъпни за всички участници.</w:t>
      </w:r>
      <w:r w:rsidR="00420542" w:rsidRPr="003C60F7">
        <w:t xml:space="preserve"> </w:t>
      </w:r>
    </w:p>
    <w:p w14:paraId="2D634FDC" w14:textId="4056CF07" w:rsidR="002A1B9D" w:rsidRPr="003C60F7" w:rsidRDefault="00705283" w:rsidP="00E3376E">
      <w:pPr>
        <w:spacing w:before="120" w:after="120" w:line="276" w:lineRule="auto"/>
        <w:ind w:firstLine="567"/>
        <w:jc w:val="both"/>
      </w:pPr>
      <w:r w:rsidRPr="003C60F7">
        <w:t>2.2.</w:t>
      </w:r>
      <w:r w:rsidR="002A1B9D" w:rsidRPr="003C60F7">
        <w:t xml:space="preserve"> Налагащи се промени в числеността на обучаемите в група и разпределението им се извършват в координация с ВЪЗЛОЖИТЕЛЯ. </w:t>
      </w:r>
    </w:p>
    <w:p w14:paraId="0A48D842" w14:textId="2FDAA40E" w:rsidR="009D3F7A" w:rsidRPr="003C60F7" w:rsidRDefault="00705283" w:rsidP="00E3376E">
      <w:pPr>
        <w:spacing w:before="120" w:after="120" w:line="276" w:lineRule="auto"/>
        <w:ind w:firstLine="567"/>
        <w:jc w:val="both"/>
      </w:pPr>
      <w:r w:rsidRPr="003C60F7">
        <w:t>2.3.</w:t>
      </w:r>
      <w:r w:rsidR="002A1B9D" w:rsidRPr="003C60F7">
        <w:t xml:space="preserve"> Когато за обучението е необходимо обучаемите да бъдат снабдени с обучителни материали, ИЗПЪЛНИТЕЛЯТ трябва да осигури комплект от тях на хартиен </w:t>
      </w:r>
      <w:r w:rsidR="00CC4031" w:rsidRPr="003C60F7">
        <w:t xml:space="preserve">носител </w:t>
      </w:r>
      <w:r w:rsidR="002A1B9D" w:rsidRPr="003C60F7">
        <w:t>или достъп до тях в електронен вариант.</w:t>
      </w:r>
    </w:p>
    <w:p w14:paraId="279D2230" w14:textId="291B4049" w:rsidR="00D44CFD" w:rsidRPr="003C60F7" w:rsidRDefault="00705283" w:rsidP="00E3376E">
      <w:pPr>
        <w:spacing w:before="120" w:after="120" w:line="276" w:lineRule="auto"/>
        <w:ind w:firstLine="567"/>
        <w:jc w:val="both"/>
      </w:pPr>
      <w:r w:rsidRPr="003C60F7">
        <w:t>2.4.</w:t>
      </w:r>
      <w:r w:rsidR="00B30174" w:rsidRPr="003C60F7">
        <w:t xml:space="preserve"> </w:t>
      </w:r>
      <w:r w:rsidR="0060529D">
        <w:t xml:space="preserve">Според спецификата на обучението се осигурява необходимата за провеждането му логистика: </w:t>
      </w:r>
      <w:r w:rsidR="00D44CFD" w:rsidRPr="003C60F7">
        <w:t>осигуряване и настаняването в хотели</w:t>
      </w:r>
      <w:r w:rsidR="00563136" w:rsidRPr="003C60F7">
        <w:t xml:space="preserve"> на пълен пансион</w:t>
      </w:r>
      <w:r w:rsidR="00D44CFD" w:rsidRPr="003C60F7">
        <w:t>, осигуряването на зали с необходимото за провеждане на обучението оборудване, регистрацията на участниците; осигуряването на кафе-паузи, закуска, обяд и вечеря на обучаемите, както и организирането на транспорта/</w:t>
      </w:r>
      <w:r w:rsidR="0060529D">
        <w:t>осребряване на</w:t>
      </w:r>
      <w:r w:rsidR="00D44CFD" w:rsidRPr="003C60F7">
        <w:t xml:space="preserve"> транспортните разходи до мястото на обучението. </w:t>
      </w:r>
      <w:r w:rsidR="0060529D">
        <w:t xml:space="preserve">Решение на възложителя е дали да възложи логистичните дейности на обучителната организация или директно на </w:t>
      </w:r>
      <w:r w:rsidR="0060529D" w:rsidRPr="0060529D">
        <w:t>крайния изпълнител (транспортна фирма, хотел, доставчик на храна и др.)</w:t>
      </w:r>
    </w:p>
    <w:p w14:paraId="5235467B" w14:textId="5D5127FE" w:rsidR="00D44CFD" w:rsidRPr="003C60F7" w:rsidRDefault="00705283" w:rsidP="00E3376E">
      <w:pPr>
        <w:spacing w:before="120" w:after="120" w:line="276" w:lineRule="auto"/>
        <w:ind w:firstLine="567"/>
        <w:jc w:val="both"/>
      </w:pPr>
      <w:r w:rsidRPr="003C60F7">
        <w:t xml:space="preserve">2.5. </w:t>
      </w:r>
      <w:r w:rsidR="00D44CFD" w:rsidRPr="003C60F7">
        <w:t xml:space="preserve">Дейността ще се извършва текущо, според вида и продължителността на курса, по възможност в неучебни и/или в почивни дни. </w:t>
      </w:r>
    </w:p>
    <w:p w14:paraId="12BEA8F4" w14:textId="2F9A8025" w:rsidR="00AB467B" w:rsidRPr="003C60F7" w:rsidRDefault="00AB467B" w:rsidP="005259E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Задължения на доставчиците на услуги по обучения</w:t>
      </w:r>
      <w:r w:rsidR="00B362E8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FB33B2" w14:textId="37302AD3" w:rsidR="00C94324" w:rsidRPr="008F7BA7" w:rsidRDefault="00563136" w:rsidP="00E3376E">
      <w:pPr>
        <w:spacing w:before="120" w:after="120" w:line="276" w:lineRule="auto"/>
        <w:ind w:firstLine="567"/>
        <w:jc w:val="both"/>
      </w:pPr>
      <w:r w:rsidRPr="008F7BA7">
        <w:t>3.1.</w:t>
      </w:r>
      <w:r w:rsidR="001B5732" w:rsidRPr="008F7BA7">
        <w:t>Осигуряване на</w:t>
      </w:r>
      <w:r w:rsidR="00252112" w:rsidRPr="008F7BA7">
        <w:t xml:space="preserve"> </w:t>
      </w:r>
      <w:r w:rsidR="004D21D9" w:rsidRPr="008F7BA7">
        <w:t>лектори/</w:t>
      </w:r>
      <w:r w:rsidR="00252112" w:rsidRPr="008F7BA7">
        <w:t>преподават</w:t>
      </w:r>
      <w:r w:rsidR="00761121" w:rsidRPr="008F7BA7">
        <w:t>ели</w:t>
      </w:r>
      <w:r w:rsidR="004D21D9" w:rsidRPr="008F7BA7">
        <w:t>,</w:t>
      </w:r>
      <w:r w:rsidR="00A255FA" w:rsidRPr="008F7BA7">
        <w:t xml:space="preserve"> </w:t>
      </w:r>
      <w:r w:rsidR="000C108F" w:rsidRPr="008F7BA7">
        <w:t>които са вписани като лектори (обучители) в регистъра на одобрените програми за обучение за повишаване квалификацията на педагогическите специалисти</w:t>
      </w:r>
      <w:r w:rsidR="008F7BA7" w:rsidRPr="008F7BA7">
        <w:t>,</w:t>
      </w:r>
      <w:r w:rsidR="000C108F" w:rsidRPr="008F7BA7">
        <w:t xml:space="preserve"> или които са посочен</w:t>
      </w:r>
      <w:r w:rsidR="008F7BA7" w:rsidRPr="008F7BA7">
        <w:t>и</w:t>
      </w:r>
      <w:r w:rsidR="000C108F" w:rsidRPr="008F7BA7">
        <w:t xml:space="preserve"> като преподавател</w:t>
      </w:r>
      <w:r w:rsidR="008F7BA7" w:rsidRPr="008F7BA7">
        <w:t>и</w:t>
      </w:r>
      <w:r w:rsidR="000C108F" w:rsidRPr="008F7BA7">
        <w:t xml:space="preserve"> за съответната програма от висшето училище</w:t>
      </w:r>
      <w:r w:rsidR="0060529D" w:rsidRPr="008F7BA7">
        <w:t xml:space="preserve"> или са служители на специализирани обслужващи звена и научни организации</w:t>
      </w:r>
      <w:r w:rsidR="00A73E29" w:rsidRPr="008F7BA7">
        <w:t>.</w:t>
      </w:r>
    </w:p>
    <w:p w14:paraId="1F07FE38" w14:textId="5CB64123" w:rsidR="00D67755" w:rsidRPr="003C60F7" w:rsidRDefault="00AB467B" w:rsidP="00E3376E">
      <w:pPr>
        <w:spacing w:before="120" w:after="120" w:line="276" w:lineRule="auto"/>
        <w:ind w:firstLine="567"/>
        <w:jc w:val="both"/>
      </w:pPr>
      <w:r w:rsidRPr="003C60F7">
        <w:t>3.</w:t>
      </w:r>
      <w:r w:rsidR="001B5732" w:rsidRPr="003C60F7">
        <w:t>2</w:t>
      </w:r>
      <w:r w:rsidR="00D67755" w:rsidRPr="003C60F7">
        <w:t xml:space="preserve">. </w:t>
      </w:r>
      <w:r w:rsidR="003B7936" w:rsidRPr="003C60F7">
        <w:t>Осигуряване на о</w:t>
      </w:r>
      <w:r w:rsidR="00D67755" w:rsidRPr="003C60F7">
        <w:t xml:space="preserve">бучителни материали </w:t>
      </w:r>
      <w:r w:rsidR="00E70057" w:rsidRPr="003C60F7">
        <w:t>и/или достъп до тях в електронен вариант за всички участници</w:t>
      </w:r>
      <w:r w:rsidR="003B7936" w:rsidRPr="003C60F7">
        <w:t>, включени</w:t>
      </w:r>
      <w:r w:rsidR="00A73E29" w:rsidRPr="003C60F7">
        <w:t xml:space="preserve"> в обученията.</w:t>
      </w:r>
    </w:p>
    <w:p w14:paraId="10B0604C" w14:textId="134E5EE3" w:rsidR="00252112" w:rsidRPr="003C60F7" w:rsidRDefault="003B7936" w:rsidP="00E3376E">
      <w:pPr>
        <w:spacing w:before="120" w:after="120" w:line="276" w:lineRule="auto"/>
        <w:ind w:firstLine="567"/>
        <w:jc w:val="both"/>
      </w:pPr>
      <w:r w:rsidRPr="003C60F7">
        <w:t>3.</w:t>
      </w:r>
      <w:r w:rsidR="00A73E29" w:rsidRPr="003C60F7">
        <w:t>3</w:t>
      </w:r>
      <w:r w:rsidR="00D67755" w:rsidRPr="003C60F7">
        <w:t xml:space="preserve">. </w:t>
      </w:r>
      <w:r w:rsidR="008F7BA7">
        <w:t>Изпълнение на всички дейности, посочени в поканата за подаване на оферта, изпратена от възложителя</w:t>
      </w:r>
      <w:r w:rsidR="00DB3FB4" w:rsidRPr="003C60F7">
        <w:t>.</w:t>
      </w:r>
    </w:p>
    <w:p w14:paraId="596AEEB1" w14:textId="1C036D34" w:rsidR="00141F33" w:rsidRPr="003C60F7" w:rsidRDefault="00141F33" w:rsidP="00E3376E">
      <w:pPr>
        <w:spacing w:before="120" w:after="120" w:line="276" w:lineRule="auto"/>
        <w:ind w:firstLine="567"/>
        <w:jc w:val="both"/>
        <w:rPr>
          <w:bCs/>
        </w:rPr>
      </w:pPr>
      <w:r w:rsidRPr="003C60F7">
        <w:rPr>
          <w:bCs/>
        </w:rPr>
        <w:lastRenderedPageBreak/>
        <w:t>3.</w:t>
      </w:r>
      <w:r w:rsidR="00A73E29" w:rsidRPr="003C60F7">
        <w:rPr>
          <w:bCs/>
        </w:rPr>
        <w:t>4</w:t>
      </w:r>
      <w:r w:rsidRPr="003C60F7">
        <w:rPr>
          <w:bCs/>
        </w:rPr>
        <w:t xml:space="preserve">. Осигуряване на </w:t>
      </w:r>
      <w:r w:rsidR="00A73E29" w:rsidRPr="003C60F7">
        <w:rPr>
          <w:bCs/>
        </w:rPr>
        <w:t xml:space="preserve">доказателства за техническото изпълнение на дейността, съгласно изискванията на </w:t>
      </w:r>
      <w:r w:rsidR="00E70057" w:rsidRPr="003C60F7">
        <w:rPr>
          <w:bCs/>
        </w:rPr>
        <w:t>ВЪЗЛОЖИТЕЛЯ.</w:t>
      </w:r>
    </w:p>
    <w:p w14:paraId="41768834" w14:textId="522334E0" w:rsidR="0094615C" w:rsidRPr="003C60F7" w:rsidRDefault="0094615C" w:rsidP="00593DA9">
      <w:pPr>
        <w:spacing w:before="120" w:after="120"/>
        <w:jc w:val="both"/>
      </w:pPr>
    </w:p>
    <w:p w14:paraId="4A0EA830" w14:textId="78B40E5A" w:rsidR="00C86925" w:rsidRPr="003C60F7" w:rsidRDefault="00162317" w:rsidP="00563136">
      <w:pPr>
        <w:spacing w:before="120" w:after="120"/>
        <w:ind w:firstLine="567"/>
        <w:jc w:val="both"/>
        <w:rPr>
          <w:color w:val="FF0000"/>
        </w:rPr>
      </w:pPr>
      <w:r w:rsidRPr="003C60F7">
        <w:rPr>
          <w:b/>
        </w:rPr>
        <w:t xml:space="preserve">VI. </w:t>
      </w:r>
      <w:r w:rsidR="00C86925" w:rsidRPr="003C60F7">
        <w:rPr>
          <w:b/>
        </w:rPr>
        <w:t>Срок за извършване на услугата</w:t>
      </w:r>
      <w:r w:rsidR="00B362E8" w:rsidRPr="003C60F7">
        <w:rPr>
          <w:b/>
        </w:rPr>
        <w:t>:</w:t>
      </w:r>
    </w:p>
    <w:p w14:paraId="397042A1" w14:textId="6F7F6E13" w:rsidR="00563136" w:rsidRPr="003C60F7" w:rsidRDefault="00705283" w:rsidP="00E3376E">
      <w:pPr>
        <w:tabs>
          <w:tab w:val="left" w:pos="567"/>
        </w:tabs>
        <w:spacing w:before="120" w:after="120" w:line="276" w:lineRule="auto"/>
        <w:jc w:val="both"/>
      </w:pPr>
      <w:r w:rsidRPr="003C60F7">
        <w:tab/>
      </w:r>
      <w:r w:rsidR="009A71C2" w:rsidRPr="003C60F7">
        <w:t>ИЗПЪЛНИТЕЛЯТ провежда обучението</w:t>
      </w:r>
      <w:r w:rsidR="008F7BA7">
        <w:t xml:space="preserve"> в посочен от</w:t>
      </w:r>
      <w:r w:rsidR="009A71C2" w:rsidRPr="003C60F7">
        <w:t xml:space="preserve"> ВЪЗЛОЖИТЕЛЯ </w:t>
      </w:r>
      <w:r w:rsidR="008F7BA7">
        <w:t>период, който може да бъде променен по взаимно съгласие, когато се налага по обективни причини</w:t>
      </w:r>
      <w:r w:rsidR="009A71C2" w:rsidRPr="003C60F7">
        <w:t>.</w:t>
      </w:r>
    </w:p>
    <w:p w14:paraId="3548C5E7" w14:textId="77777777" w:rsidR="00953DFB" w:rsidRPr="003C60F7" w:rsidRDefault="00953DFB" w:rsidP="00953DFB">
      <w:pPr>
        <w:tabs>
          <w:tab w:val="left" w:pos="709"/>
        </w:tabs>
        <w:spacing w:before="120" w:after="120"/>
        <w:jc w:val="both"/>
      </w:pPr>
      <w:r w:rsidRPr="003C60F7">
        <w:tab/>
      </w:r>
    </w:p>
    <w:p w14:paraId="78E0C68B" w14:textId="7B15F6FE" w:rsidR="00C86925" w:rsidRPr="003C60F7" w:rsidRDefault="00953DFB" w:rsidP="00953DFB">
      <w:pPr>
        <w:tabs>
          <w:tab w:val="left" w:pos="709"/>
        </w:tabs>
        <w:spacing w:before="120" w:after="120"/>
        <w:jc w:val="both"/>
        <w:rPr>
          <w:b/>
        </w:rPr>
      </w:pPr>
      <w:r w:rsidRPr="003C60F7">
        <w:tab/>
      </w:r>
      <w:r w:rsidR="008F7BA7" w:rsidRPr="003C60F7">
        <w:rPr>
          <w:b/>
        </w:rPr>
        <w:t>VII</w:t>
      </w:r>
      <w:r w:rsidR="00563136" w:rsidRPr="003C60F7">
        <w:rPr>
          <w:b/>
        </w:rPr>
        <w:t>. Логистична организация:</w:t>
      </w:r>
    </w:p>
    <w:p w14:paraId="622DC013" w14:textId="14B15B39" w:rsidR="00C86925" w:rsidRPr="003C60F7" w:rsidRDefault="00C86925" w:rsidP="00E3376E">
      <w:pPr>
        <w:tabs>
          <w:tab w:val="left" w:pos="630"/>
        </w:tabs>
        <w:spacing w:before="120" w:after="120" w:line="276" w:lineRule="auto"/>
        <w:jc w:val="both"/>
      </w:pPr>
      <w:r w:rsidRPr="003C60F7">
        <w:tab/>
      </w:r>
      <w:r w:rsidR="00705283" w:rsidRPr="003C60F7">
        <w:t xml:space="preserve">1. </w:t>
      </w:r>
      <w:r w:rsidR="008141DB" w:rsidRPr="003C60F7">
        <w:t>Л</w:t>
      </w:r>
      <w:r w:rsidRPr="003C60F7">
        <w:t>огистична</w:t>
      </w:r>
      <w:r w:rsidR="008141DB" w:rsidRPr="003C60F7">
        <w:t>та</w:t>
      </w:r>
      <w:r w:rsidRPr="003C60F7">
        <w:t xml:space="preserve"> организация, свързана с провеждане на обученията</w:t>
      </w:r>
      <w:r w:rsidR="008141DB" w:rsidRPr="003C60F7">
        <w:t>,</w:t>
      </w:r>
      <w:r w:rsidRPr="003C60F7">
        <w:t xml:space="preserve"> включва дейности по осиг</w:t>
      </w:r>
      <w:r w:rsidR="00657A78" w:rsidRPr="003C60F7">
        <w:t>уряване и настаняване в хотели</w:t>
      </w:r>
      <w:r w:rsidRPr="003C60F7">
        <w:t>*</w:t>
      </w:r>
      <w:r w:rsidRPr="003C60F7">
        <w:rPr>
          <w:rStyle w:val="FootnoteReference"/>
        </w:rPr>
        <w:footnoteReference w:id="1"/>
      </w:r>
      <w:r w:rsidR="008141DB" w:rsidRPr="003C60F7">
        <w:t>;</w:t>
      </w:r>
      <w:r w:rsidRPr="003C60F7">
        <w:t xml:space="preserve"> осигуряване на зали</w:t>
      </w:r>
      <w:r w:rsidR="008141DB" w:rsidRPr="003C60F7">
        <w:t>/помещения</w:t>
      </w:r>
      <w:r w:rsidRPr="003C60F7">
        <w:t xml:space="preserve"> с необходимото за пров</w:t>
      </w:r>
      <w:r w:rsidR="008141DB" w:rsidRPr="003C60F7">
        <w:t>еждане на обучението оборудване;</w:t>
      </w:r>
      <w:r w:rsidRPr="003C60F7">
        <w:t xml:space="preserve"> регистрация на участниците; осигуряване на кафе-паузи, закуска, обяд и вечеря на обучаемите; </w:t>
      </w:r>
      <w:r w:rsidR="00EF0807" w:rsidRPr="003C60F7">
        <w:t xml:space="preserve">осигуряване на организиран транспорт </w:t>
      </w:r>
      <w:r w:rsidR="008141DB" w:rsidRPr="003C60F7">
        <w:t>и/</w:t>
      </w:r>
      <w:r w:rsidR="00EF0807" w:rsidRPr="003C60F7">
        <w:t xml:space="preserve">или </w:t>
      </w:r>
      <w:r w:rsidRPr="003C60F7">
        <w:t>покриване на пътните разходи на участниците, които не са от населеното място, където се провежда обучението.</w:t>
      </w:r>
      <w:r w:rsidR="008F7BA7">
        <w:t xml:space="preserve"> </w:t>
      </w:r>
    </w:p>
    <w:p w14:paraId="102E833B" w14:textId="77777777" w:rsidR="007C5B5B" w:rsidRPr="003C60F7" w:rsidRDefault="007C5B5B" w:rsidP="00E3376E">
      <w:pPr>
        <w:tabs>
          <w:tab w:val="left" w:pos="630"/>
        </w:tabs>
        <w:spacing w:before="120" w:after="120" w:line="276" w:lineRule="auto"/>
        <w:jc w:val="both"/>
      </w:pPr>
      <w:r w:rsidRPr="003C60F7">
        <w:tab/>
        <w:t>Необходимите логистични дейности, които следва да бъдат осигурени при провеждането на изнесени обучения са, както следва:</w:t>
      </w: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7C5B5B" w:rsidRPr="003C60F7" w14:paraId="50AF2091" w14:textId="77777777" w:rsidTr="00731E04">
        <w:tc>
          <w:tcPr>
            <w:tcW w:w="4671" w:type="dxa"/>
          </w:tcPr>
          <w:p w14:paraId="51A0D413" w14:textId="7700C022" w:rsidR="002F4C49" w:rsidRPr="003C60F7" w:rsidRDefault="00672EBC" w:rsidP="00E3376E">
            <w:pPr>
              <w:spacing w:before="120" w:after="120" w:line="276" w:lineRule="auto"/>
              <w:jc w:val="both"/>
            </w:pPr>
            <w:r w:rsidRPr="003C60F7">
              <w:t xml:space="preserve">При </w:t>
            </w:r>
            <w:r w:rsidR="005A7EAE" w:rsidRPr="003C60F7">
              <w:t xml:space="preserve">обучение с нощувки </w:t>
            </w:r>
          </w:p>
        </w:tc>
        <w:tc>
          <w:tcPr>
            <w:tcW w:w="5218" w:type="dxa"/>
          </w:tcPr>
          <w:p w14:paraId="21F4B971" w14:textId="77777777" w:rsidR="00191515" w:rsidRPr="003C60F7" w:rsidRDefault="00191515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В зависимост от продължителността на обучението, </w:t>
            </w:r>
            <w:r w:rsidRPr="003C60F7">
              <w:rPr>
                <w:bCs/>
                <w:u w:val="single"/>
              </w:rPr>
              <w:t>при наличие на нощувка</w:t>
            </w:r>
            <w:r w:rsidRPr="003C60F7">
              <w:rPr>
                <w:bCs/>
              </w:rPr>
              <w:t>:</w:t>
            </w:r>
          </w:p>
          <w:p w14:paraId="447AE40A" w14:textId="77777777" w:rsidR="00672EBC" w:rsidRPr="003C60F7" w:rsidRDefault="00191515" w:rsidP="00E3376E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</w:pPr>
            <w:r w:rsidRPr="003C60F7">
              <w:rPr>
                <w:bCs/>
              </w:rPr>
              <w:t xml:space="preserve">съответния брой </w:t>
            </w:r>
            <w:r w:rsidR="00AA0979" w:rsidRPr="003C60F7">
              <w:rPr>
                <w:bCs/>
              </w:rPr>
              <w:t>обе</w:t>
            </w:r>
            <w:r w:rsidR="00672EBC" w:rsidRPr="003C60F7">
              <w:rPr>
                <w:bCs/>
              </w:rPr>
              <w:t>д</w:t>
            </w:r>
            <w:r w:rsidRPr="003C60F7">
              <w:rPr>
                <w:bCs/>
              </w:rPr>
              <w:t>и</w:t>
            </w:r>
            <w:r w:rsidR="002F4C49" w:rsidRPr="003C60F7">
              <w:rPr>
                <w:bCs/>
              </w:rPr>
              <w:t>;</w:t>
            </w:r>
            <w:r w:rsidR="00672EBC" w:rsidRPr="003C60F7">
              <w:rPr>
                <w:bCs/>
              </w:rPr>
              <w:t xml:space="preserve"> </w:t>
            </w:r>
          </w:p>
          <w:p w14:paraId="398B321E" w14:textId="77777777" w:rsidR="007C5B5B" w:rsidRPr="003C60F7" w:rsidRDefault="00191515" w:rsidP="00E3376E">
            <w:pPr>
              <w:numPr>
                <w:ilvl w:val="0"/>
                <w:numId w:val="12"/>
              </w:numPr>
              <w:spacing w:before="120" w:after="120" w:line="276" w:lineRule="auto"/>
              <w:rPr>
                <w:bCs/>
              </w:rPr>
            </w:pPr>
            <w:r w:rsidRPr="003C60F7">
              <w:rPr>
                <w:bCs/>
              </w:rPr>
              <w:t xml:space="preserve">съответния брой </w:t>
            </w:r>
            <w:r w:rsidR="002F4C49" w:rsidRPr="003C60F7">
              <w:rPr>
                <w:bCs/>
              </w:rPr>
              <w:t>вечери;</w:t>
            </w:r>
          </w:p>
          <w:p w14:paraId="2C0E849D" w14:textId="77777777" w:rsidR="00672EBC" w:rsidRPr="003C60F7" w:rsidRDefault="00191515" w:rsidP="00E3376E">
            <w:pPr>
              <w:numPr>
                <w:ilvl w:val="0"/>
                <w:numId w:val="12"/>
              </w:numPr>
              <w:adjustRightInd w:val="0"/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съответния брой </w:t>
            </w:r>
            <w:r w:rsidR="002F4C49" w:rsidRPr="003C60F7">
              <w:rPr>
                <w:bCs/>
              </w:rPr>
              <w:t>нощувки със закуски;</w:t>
            </w:r>
          </w:p>
          <w:p w14:paraId="44023B19" w14:textId="77777777" w:rsidR="003D19AA" w:rsidRPr="003C60F7" w:rsidRDefault="00191515" w:rsidP="00E3376E">
            <w:pPr>
              <w:numPr>
                <w:ilvl w:val="0"/>
                <w:numId w:val="12"/>
              </w:numPr>
              <w:adjustRightInd w:val="0"/>
              <w:spacing w:before="120" w:after="120" w:line="276" w:lineRule="auto"/>
              <w:jc w:val="both"/>
              <w:rPr>
                <w:bCs/>
              </w:rPr>
            </w:pPr>
            <w:r w:rsidRPr="003C60F7">
              <w:t xml:space="preserve">съответния брой </w:t>
            </w:r>
            <w:r w:rsidR="00672EBC" w:rsidRPr="003C60F7">
              <w:t>кафе-паузи</w:t>
            </w:r>
            <w:r w:rsidR="00672EBC" w:rsidRPr="003C60F7">
              <w:rPr>
                <w:bCs/>
              </w:rPr>
              <w:t xml:space="preserve"> (</w:t>
            </w:r>
            <w:r w:rsidR="002F4C49" w:rsidRPr="003C60F7">
              <w:rPr>
                <w:bCs/>
              </w:rPr>
              <w:t>по програма</w:t>
            </w:r>
            <w:r w:rsidR="00672EBC" w:rsidRPr="003C60F7">
              <w:rPr>
                <w:bCs/>
              </w:rPr>
              <w:t>)</w:t>
            </w:r>
            <w:r w:rsidR="003D19AA" w:rsidRPr="003C60F7">
              <w:rPr>
                <w:bCs/>
              </w:rPr>
              <w:t xml:space="preserve">, в т.ч. </w:t>
            </w:r>
            <w:r w:rsidR="00672EBC" w:rsidRPr="003C60F7">
              <w:rPr>
                <w:bCs/>
              </w:rPr>
              <w:t>минерална вода, кафе, чай</w:t>
            </w:r>
            <w:r w:rsidR="003D19AA" w:rsidRPr="003C60F7">
              <w:rPr>
                <w:bCs/>
              </w:rPr>
              <w:t xml:space="preserve"> и дребни сладки;</w:t>
            </w:r>
            <w:r w:rsidR="00672EBC" w:rsidRPr="003C60F7">
              <w:rPr>
                <w:bCs/>
              </w:rPr>
              <w:t xml:space="preserve"> </w:t>
            </w:r>
          </w:p>
          <w:p w14:paraId="24A21389" w14:textId="77777777" w:rsidR="00B60A7B" w:rsidRPr="003C60F7" w:rsidRDefault="00B60A7B" w:rsidP="00E3376E">
            <w:pPr>
              <w:numPr>
                <w:ilvl w:val="0"/>
                <w:numId w:val="12"/>
              </w:numPr>
              <w:adjustRightInd w:val="0"/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транспорт</w:t>
            </w:r>
            <w:r w:rsidR="003D19AA" w:rsidRPr="003C60F7">
              <w:rPr>
                <w:bCs/>
              </w:rPr>
              <w:t>.</w:t>
            </w:r>
          </w:p>
          <w:p w14:paraId="78D4465C" w14:textId="77777777" w:rsidR="00552EC1" w:rsidRPr="003C60F7" w:rsidRDefault="003D19AA" w:rsidP="00E3376E">
            <w:pPr>
              <w:spacing w:before="120" w:after="120" w:line="276" w:lineRule="auto"/>
              <w:rPr>
                <w:u w:val="single"/>
              </w:rPr>
            </w:pPr>
            <w:r w:rsidRPr="003C60F7">
              <w:rPr>
                <w:bCs/>
              </w:rPr>
              <w:t xml:space="preserve">В зависимост от продължителността на обучението, </w:t>
            </w:r>
            <w:r w:rsidRPr="003C60F7">
              <w:rPr>
                <w:bCs/>
                <w:u w:val="single"/>
              </w:rPr>
              <w:t>б</w:t>
            </w:r>
            <w:r w:rsidR="00F04799" w:rsidRPr="003C60F7">
              <w:rPr>
                <w:u w:val="single"/>
              </w:rPr>
              <w:t xml:space="preserve">ез </w:t>
            </w:r>
            <w:r w:rsidRPr="003C60F7">
              <w:rPr>
                <w:u w:val="single"/>
              </w:rPr>
              <w:t>предвидена нощувка:</w:t>
            </w:r>
          </w:p>
          <w:p w14:paraId="029C1E3A" w14:textId="77777777" w:rsidR="007274F6" w:rsidRPr="003C60F7" w:rsidRDefault="007274F6" w:rsidP="00E3376E">
            <w:pPr>
              <w:numPr>
                <w:ilvl w:val="0"/>
                <w:numId w:val="12"/>
              </w:numPr>
              <w:adjustRightInd w:val="0"/>
              <w:spacing w:before="120" w:after="120" w:line="276" w:lineRule="auto"/>
              <w:jc w:val="both"/>
              <w:rPr>
                <w:bCs/>
              </w:rPr>
            </w:pPr>
            <w:r w:rsidRPr="003C60F7">
              <w:t>съответния брой кафе-паузи</w:t>
            </w:r>
            <w:r w:rsidRPr="003C60F7">
              <w:rPr>
                <w:bCs/>
              </w:rPr>
              <w:t xml:space="preserve"> (по програма), в т.ч. минерална вода, кафе, чай и дребни сладки; </w:t>
            </w:r>
          </w:p>
          <w:p w14:paraId="3A4052A4" w14:textId="77777777" w:rsidR="00B60A7B" w:rsidRPr="003C60F7" w:rsidRDefault="007274F6" w:rsidP="00E3376E">
            <w:pPr>
              <w:numPr>
                <w:ilvl w:val="0"/>
                <w:numId w:val="12"/>
              </w:numPr>
              <w:adjustRightInd w:val="0"/>
              <w:spacing w:before="120" w:after="120" w:line="276" w:lineRule="auto"/>
              <w:jc w:val="both"/>
            </w:pPr>
            <w:r w:rsidRPr="003C60F7">
              <w:rPr>
                <w:bCs/>
              </w:rPr>
              <w:lastRenderedPageBreak/>
              <w:t xml:space="preserve">пътни </w:t>
            </w:r>
            <w:r w:rsidR="003765BA" w:rsidRPr="003C60F7">
              <w:rPr>
                <w:bCs/>
              </w:rPr>
              <w:t>разноски</w:t>
            </w:r>
            <w:r w:rsidRPr="003C60F7">
              <w:rPr>
                <w:bCs/>
              </w:rPr>
              <w:t>.</w:t>
            </w:r>
          </w:p>
        </w:tc>
      </w:tr>
      <w:tr w:rsidR="007C5B5B" w:rsidRPr="003C60F7" w14:paraId="006D7C9B" w14:textId="77777777" w:rsidTr="00731E04">
        <w:tc>
          <w:tcPr>
            <w:tcW w:w="4671" w:type="dxa"/>
          </w:tcPr>
          <w:p w14:paraId="698133FD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lastRenderedPageBreak/>
              <w:t>Осигуряване на зала</w:t>
            </w:r>
            <w:r w:rsidR="002D2957" w:rsidRPr="003C60F7">
              <w:t>/помещение</w:t>
            </w:r>
            <w:r w:rsidRPr="003C60F7">
              <w:t xml:space="preserve"> и оборудване</w:t>
            </w:r>
          </w:p>
        </w:tc>
        <w:tc>
          <w:tcPr>
            <w:tcW w:w="5218" w:type="dxa"/>
          </w:tcPr>
          <w:p w14:paraId="1CB45E88" w14:textId="1699CF59" w:rsidR="007C5B5B" w:rsidRPr="003C60F7" w:rsidRDefault="00922142" w:rsidP="00E3376E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Обучението се провежда в</w:t>
            </w:r>
            <w:r w:rsidR="002D2957" w:rsidRPr="003C60F7">
              <w:rPr>
                <w:bCs/>
              </w:rPr>
              <w:t xml:space="preserve"> зала/помещение</w:t>
            </w:r>
            <w:r w:rsidR="007C5B5B" w:rsidRPr="003C60F7">
              <w:rPr>
                <w:bCs/>
              </w:rPr>
              <w:t xml:space="preserve"> със следните характеристики за нуждите на обучението: </w:t>
            </w:r>
          </w:p>
          <w:p w14:paraId="4E9B5747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1. Капацитет: надхвърлящ с не по-малко от 10% </w:t>
            </w:r>
            <w:r w:rsidR="002D2957" w:rsidRPr="003C60F7">
              <w:rPr>
                <w:bCs/>
              </w:rPr>
              <w:t xml:space="preserve">върху </w:t>
            </w:r>
            <w:r w:rsidRPr="003C60F7">
              <w:rPr>
                <w:bCs/>
              </w:rPr>
              <w:t xml:space="preserve">прогнозния брой участници. </w:t>
            </w:r>
          </w:p>
          <w:p w14:paraId="387030C2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2. Разпределение: </w:t>
            </w:r>
            <w:r w:rsidR="002D2957" w:rsidRPr="003C60F7">
              <w:rPr>
                <w:bCs/>
              </w:rPr>
              <w:t xml:space="preserve">според спецификата на обучението (например: </w:t>
            </w:r>
            <w:r w:rsidRPr="003C60F7">
              <w:rPr>
                <w:bCs/>
              </w:rPr>
              <w:t>театрално или П-образно подреждане с президиум</w:t>
            </w:r>
            <w:r w:rsidR="002D2957" w:rsidRPr="003C60F7">
              <w:rPr>
                <w:bCs/>
              </w:rPr>
              <w:t>).</w:t>
            </w:r>
          </w:p>
          <w:p w14:paraId="430B66E1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3. Наличие на изправна климатична инсталация</w:t>
            </w:r>
            <w:r w:rsidR="002D2957" w:rsidRPr="003C60F7">
              <w:rPr>
                <w:bCs/>
              </w:rPr>
              <w:t xml:space="preserve"> или отопление.</w:t>
            </w:r>
          </w:p>
          <w:p w14:paraId="2776AEDD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4. Оборудване</w:t>
            </w:r>
            <w:r w:rsidR="00693EFD" w:rsidRPr="003C60F7">
              <w:rPr>
                <w:bCs/>
              </w:rPr>
              <w:t xml:space="preserve"> (според спецификата на обучението)</w:t>
            </w:r>
            <w:r w:rsidR="00123D18" w:rsidRPr="003C60F7">
              <w:rPr>
                <w:bCs/>
              </w:rPr>
              <w:t>, в т.ч.:</w:t>
            </w:r>
            <w:r w:rsidRPr="003C60F7">
              <w:rPr>
                <w:bCs/>
              </w:rPr>
              <w:t xml:space="preserve"> </w:t>
            </w:r>
          </w:p>
          <w:p w14:paraId="0F1F280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- 1 бр. екран; </w:t>
            </w:r>
          </w:p>
          <w:p w14:paraId="39507DC6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мултимедиен проектор;</w:t>
            </w:r>
          </w:p>
          <w:p w14:paraId="5FF5E2DA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лаптоп, свързан за работа с мултимедийния проектор;</w:t>
            </w:r>
          </w:p>
          <w:p w14:paraId="770CC1CC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озвучителна система</w:t>
            </w:r>
            <w:r w:rsidR="00693EFD" w:rsidRPr="003C60F7">
              <w:rPr>
                <w:bCs/>
              </w:rPr>
              <w:t xml:space="preserve"> - микрофони</w:t>
            </w:r>
            <w:r w:rsidRPr="003C60F7">
              <w:rPr>
                <w:bCs/>
              </w:rPr>
              <w:t xml:space="preserve">; </w:t>
            </w:r>
          </w:p>
          <w:p w14:paraId="3F73B1E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флип чарт с маркери – 1 бр.</w:t>
            </w:r>
          </w:p>
          <w:p w14:paraId="547DFD5B" w14:textId="77777777" w:rsidR="00552EC1" w:rsidRPr="003C60F7" w:rsidRDefault="007C5B5B" w:rsidP="00E3376E">
            <w:pPr>
              <w:adjustRightInd w:val="0"/>
              <w:spacing w:before="120" w:after="120" w:line="276" w:lineRule="auto"/>
              <w:jc w:val="both"/>
            </w:pPr>
            <w:r w:rsidRPr="003C60F7">
              <w:rPr>
                <w:bCs/>
              </w:rPr>
              <w:t>5. Осигурена техническа поддръжка на залата и оборудването.</w:t>
            </w:r>
            <w:r w:rsidRPr="003C60F7">
              <w:t xml:space="preserve"> </w:t>
            </w:r>
          </w:p>
        </w:tc>
      </w:tr>
      <w:tr w:rsidR="007C5B5B" w:rsidRPr="003C60F7" w14:paraId="177C1776" w14:textId="77777777" w:rsidTr="00731E04">
        <w:tc>
          <w:tcPr>
            <w:tcW w:w="4671" w:type="dxa"/>
          </w:tcPr>
          <w:p w14:paraId="0351F30B" w14:textId="60647CB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 xml:space="preserve">Осигуряване на </w:t>
            </w:r>
            <w:r w:rsidR="002562FB" w:rsidRPr="003C60F7">
              <w:t xml:space="preserve">обучителни </w:t>
            </w:r>
            <w:r w:rsidRPr="003C60F7">
              <w:t>материали</w:t>
            </w:r>
          </w:p>
        </w:tc>
        <w:tc>
          <w:tcPr>
            <w:tcW w:w="5218" w:type="dxa"/>
          </w:tcPr>
          <w:p w14:paraId="7BD0E207" w14:textId="0A1159AB" w:rsidR="00552EC1" w:rsidRPr="003C60F7" w:rsidRDefault="00731E04" w:rsidP="00E3376E">
            <w:pPr>
              <w:adjustRightInd w:val="0"/>
              <w:spacing w:before="120" w:after="120" w:line="276" w:lineRule="auto"/>
              <w:jc w:val="both"/>
            </w:pPr>
            <w:r w:rsidRPr="003C60F7">
              <w:t>П</w:t>
            </w:r>
            <w:r w:rsidR="007C5B5B" w:rsidRPr="003C60F7">
              <w:t xml:space="preserve">апка с обучителни материали </w:t>
            </w:r>
          </w:p>
        </w:tc>
      </w:tr>
      <w:tr w:rsidR="007C5B5B" w:rsidRPr="003C60F7" w14:paraId="1AC77A90" w14:textId="77777777" w:rsidTr="00731E04">
        <w:tc>
          <w:tcPr>
            <w:tcW w:w="4671" w:type="dxa"/>
          </w:tcPr>
          <w:p w14:paraId="0E9CD985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>Осигуряване на снимков материал</w:t>
            </w:r>
          </w:p>
        </w:tc>
        <w:tc>
          <w:tcPr>
            <w:tcW w:w="5218" w:type="dxa"/>
          </w:tcPr>
          <w:p w14:paraId="7AC2B5DB" w14:textId="56A998C9" w:rsidR="00552EC1" w:rsidRPr="003C60F7" w:rsidRDefault="00731E04" w:rsidP="00E3376E">
            <w:pPr>
              <w:spacing w:before="120" w:after="120" w:line="276" w:lineRule="auto"/>
              <w:jc w:val="both"/>
            </w:pPr>
            <w:r w:rsidRPr="003C60F7">
              <w:t>От</w:t>
            </w:r>
            <w:r w:rsidR="007C5B5B" w:rsidRPr="003C60F7">
              <w:t xml:space="preserve"> всяко </w:t>
            </w:r>
            <w:r w:rsidRPr="003C60F7">
              <w:t>проведено</w:t>
            </w:r>
            <w:r w:rsidR="007C5B5B" w:rsidRPr="003C60F7">
              <w:t xml:space="preserve"> </w:t>
            </w:r>
            <w:r w:rsidRPr="003C60F7">
              <w:t>обучение</w:t>
            </w:r>
          </w:p>
        </w:tc>
      </w:tr>
    </w:tbl>
    <w:p w14:paraId="71B59E48" w14:textId="2C21EFF8" w:rsidR="00C57A4B" w:rsidRPr="003C60F7" w:rsidRDefault="00575E33" w:rsidP="00E3376E">
      <w:pPr>
        <w:spacing w:before="120" w:after="120" w:line="276" w:lineRule="auto"/>
        <w:ind w:firstLine="708"/>
        <w:jc w:val="both"/>
      </w:pPr>
      <w:r w:rsidRPr="003C60F7">
        <w:rPr>
          <w:b/>
          <w:i/>
        </w:rPr>
        <w:t>Забележка:</w:t>
      </w:r>
      <w:r w:rsidRPr="003C60F7">
        <w:rPr>
          <w:i/>
        </w:rPr>
        <w:t xml:space="preserve"> </w:t>
      </w:r>
      <w:r w:rsidR="00210459">
        <w:rPr>
          <w:i/>
        </w:rPr>
        <w:t xml:space="preserve">Изпълнителят трябва да осигури </w:t>
      </w:r>
      <w:r w:rsidR="006C62D0" w:rsidRPr="003C60F7">
        <w:rPr>
          <w:i/>
        </w:rPr>
        <w:t>съответния</w:t>
      </w:r>
      <w:r w:rsidR="00210459">
        <w:rPr>
          <w:i/>
        </w:rPr>
        <w:t>т</w:t>
      </w:r>
      <w:r w:rsidR="006C62D0" w:rsidRPr="003C60F7">
        <w:rPr>
          <w:i/>
        </w:rPr>
        <w:t xml:space="preserve"> брой </w:t>
      </w:r>
      <w:r w:rsidRPr="003C60F7">
        <w:rPr>
          <w:i/>
        </w:rPr>
        <w:t>нощувк</w:t>
      </w:r>
      <w:r w:rsidR="006C62D0" w:rsidRPr="003C60F7">
        <w:rPr>
          <w:i/>
        </w:rPr>
        <w:t>и</w:t>
      </w:r>
      <w:r w:rsidRPr="003C60F7">
        <w:rPr>
          <w:i/>
        </w:rPr>
        <w:t xml:space="preserve"> със закуск</w:t>
      </w:r>
      <w:r w:rsidR="006C62D0" w:rsidRPr="003C60F7">
        <w:rPr>
          <w:i/>
        </w:rPr>
        <w:t>и</w:t>
      </w:r>
      <w:r w:rsidRPr="003C60F7">
        <w:rPr>
          <w:i/>
        </w:rPr>
        <w:t xml:space="preserve"> на блок маса, обяд на блок маса </w:t>
      </w:r>
      <w:r w:rsidR="006C62D0" w:rsidRPr="003C60F7">
        <w:rPr>
          <w:i/>
        </w:rPr>
        <w:t>за всеки от дните</w:t>
      </w:r>
      <w:r w:rsidRPr="003C60F7">
        <w:rPr>
          <w:i/>
        </w:rPr>
        <w:t xml:space="preserve"> на</w:t>
      </w:r>
      <w:r w:rsidR="006C62D0" w:rsidRPr="003C60F7">
        <w:rPr>
          <w:i/>
        </w:rPr>
        <w:t xml:space="preserve"> обучението, с изключение на деня на отпътуването, вечери на блок маса в дните, за които е предвидена нощувка</w:t>
      </w:r>
      <w:r w:rsidRPr="003C60F7">
        <w:rPr>
          <w:i/>
        </w:rPr>
        <w:t>, поне една кафе-пауза във всеки от дните на обучението</w:t>
      </w:r>
      <w:r w:rsidRPr="003C60F7">
        <w:rPr>
          <w:bCs/>
          <w:i/>
        </w:rPr>
        <w:t xml:space="preserve"> (минерална вода, кафе, чай, безалкохолни напитки, дребни сладки и соленки), както и поне едно зареждане на залата с минерална вода.</w:t>
      </w:r>
      <w:r w:rsidR="006C62D0" w:rsidRPr="003C60F7">
        <w:rPr>
          <w:bCs/>
          <w:i/>
        </w:rPr>
        <w:t xml:space="preserve"> </w:t>
      </w:r>
    </w:p>
    <w:p w14:paraId="5F86244B" w14:textId="77777777" w:rsidR="00657A78" w:rsidRPr="003C60F7" w:rsidRDefault="00657A78" w:rsidP="00E3376E">
      <w:pPr>
        <w:spacing w:before="120" w:after="120" w:line="276" w:lineRule="auto"/>
        <w:ind w:firstLine="708"/>
        <w:jc w:val="both"/>
      </w:pPr>
      <w:r w:rsidRPr="003C60F7">
        <w:t>2. Изисквания към осъществя</w:t>
      </w:r>
      <w:r w:rsidR="00731E04" w:rsidRPr="003C60F7">
        <w:t>ването на логистичните дейности:</w:t>
      </w:r>
    </w:p>
    <w:p w14:paraId="382B4011" w14:textId="48013AEC" w:rsidR="00657A78" w:rsidRPr="003C60F7" w:rsidRDefault="00657A78" w:rsidP="00E3376E">
      <w:pPr>
        <w:spacing w:before="120" w:after="120" w:line="276" w:lineRule="auto"/>
        <w:ind w:firstLine="708"/>
        <w:jc w:val="both"/>
      </w:pPr>
      <w:r w:rsidRPr="003C60F7">
        <w:t xml:space="preserve">2.1. </w:t>
      </w:r>
      <w:r w:rsidR="00922142">
        <w:t>Н</w:t>
      </w:r>
      <w:r w:rsidRPr="003C60F7">
        <w:t>астаняването на обучаемите</w:t>
      </w:r>
      <w:r w:rsidR="00922142">
        <w:t xml:space="preserve"> се организира</w:t>
      </w:r>
      <w:r w:rsidRPr="003C60F7">
        <w:t xml:space="preserve"> в туристически обекти по </w:t>
      </w:r>
      <w:r w:rsidR="00922142">
        <w:t xml:space="preserve">чл. 123, ал. 2 и ал. 3, т. 1, 2, 4 и </w:t>
      </w:r>
      <w:r w:rsidR="006C62D0" w:rsidRPr="003C60F7">
        <w:t xml:space="preserve">7 </w:t>
      </w:r>
      <w:r w:rsidRPr="003C60F7">
        <w:t xml:space="preserve">от Закона за туризма, с категория поне 3 (три) звезди, разположени на комуникативно място в </w:t>
      </w:r>
      <w:r w:rsidR="00731E04" w:rsidRPr="003C60F7">
        <w:t>населеното място, където се провежда обучението</w:t>
      </w:r>
      <w:r w:rsidR="008B1305" w:rsidRPr="003C60F7">
        <w:rPr>
          <w:snapToGrid w:val="0"/>
        </w:rPr>
        <w:t xml:space="preserve"> или настаняване </w:t>
      </w:r>
      <w:r w:rsidR="006E33E1" w:rsidRPr="003C60F7">
        <w:rPr>
          <w:snapToGrid w:val="0"/>
        </w:rPr>
        <w:t>при</w:t>
      </w:r>
      <w:r w:rsidR="008B1305" w:rsidRPr="003C60F7">
        <w:rPr>
          <w:snapToGrid w:val="0"/>
        </w:rPr>
        <w:t xml:space="preserve"> сходни условия, в случай че обучението е в собствена </w:t>
      </w:r>
      <w:r w:rsidR="006E33E1" w:rsidRPr="003C60F7">
        <w:rPr>
          <w:snapToGrid w:val="0"/>
        </w:rPr>
        <w:t xml:space="preserve">база </w:t>
      </w:r>
      <w:r w:rsidR="008B1305" w:rsidRPr="003C60F7">
        <w:rPr>
          <w:snapToGrid w:val="0"/>
        </w:rPr>
        <w:t>на</w:t>
      </w:r>
      <w:r w:rsidR="008E4FEE" w:rsidRPr="003C60F7">
        <w:rPr>
          <w:snapToGrid w:val="0"/>
        </w:rPr>
        <w:t xml:space="preserve"> </w:t>
      </w:r>
      <w:r w:rsidR="0097338C" w:rsidRPr="003C60F7">
        <w:rPr>
          <w:snapToGrid w:val="0"/>
        </w:rPr>
        <w:t>изпълнителя</w:t>
      </w:r>
      <w:r w:rsidR="008E4FEE" w:rsidRPr="003C60F7">
        <w:rPr>
          <w:snapToGrid w:val="0"/>
        </w:rPr>
        <w:t>.</w:t>
      </w:r>
    </w:p>
    <w:p w14:paraId="6E459873" w14:textId="47BAEDEC" w:rsidR="00657A78" w:rsidRPr="003C60F7" w:rsidRDefault="00657A78" w:rsidP="00E3376E">
      <w:pPr>
        <w:spacing w:before="120" w:after="120" w:line="276" w:lineRule="auto"/>
        <w:ind w:firstLine="708"/>
        <w:jc w:val="both"/>
      </w:pPr>
      <w:r w:rsidRPr="003C60F7">
        <w:lastRenderedPageBreak/>
        <w:t xml:space="preserve">2.2. </w:t>
      </w:r>
      <w:r w:rsidRPr="003C60F7">
        <w:rPr>
          <w:bCs/>
          <w:iCs/>
        </w:rPr>
        <w:t xml:space="preserve">В рамките на организацията на обученията се прави цялостно логистично и транспортно обслужване. </w:t>
      </w:r>
      <w:r w:rsidR="0097338C">
        <w:t>Използваните</w:t>
      </w:r>
      <w:r w:rsidRPr="003C60F7">
        <w:t xml:space="preserve"> хотели и зали следва да бъдат достъпни за хора с увреждания. </w:t>
      </w:r>
    </w:p>
    <w:p w14:paraId="7EF67088" w14:textId="1F8E9DB0" w:rsidR="00657A78" w:rsidRPr="003C60F7" w:rsidRDefault="00657A78" w:rsidP="00E3376E">
      <w:pPr>
        <w:pStyle w:val="Text2"/>
        <w:tabs>
          <w:tab w:val="clear" w:pos="2161"/>
          <w:tab w:val="left" w:pos="720"/>
        </w:tabs>
        <w:spacing w:before="120" w:after="120" w:line="276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</w:pPr>
      <w:r w:rsidRPr="003C60F7">
        <w:rPr>
          <w:rFonts w:ascii="Times New Roman" w:hAnsi="Times New Roman"/>
          <w:sz w:val="24"/>
          <w:szCs w:val="24"/>
          <w:lang w:val="bg-BG"/>
        </w:rPr>
        <w:t>2.</w:t>
      </w:r>
      <w:r w:rsidR="004E4C64" w:rsidRPr="003C60F7">
        <w:rPr>
          <w:rFonts w:ascii="Times New Roman" w:hAnsi="Times New Roman"/>
          <w:sz w:val="24"/>
          <w:szCs w:val="24"/>
          <w:lang w:val="bg-BG"/>
        </w:rPr>
        <w:t>3</w:t>
      </w:r>
      <w:r w:rsidRPr="003C60F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Настаняването на обучаемите в хотелите да бъде в </w:t>
      </w:r>
      <w:r w:rsidR="0097338C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единични или в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>двойни стаи.</w:t>
      </w:r>
    </w:p>
    <w:p w14:paraId="58A36A09" w14:textId="77777777" w:rsidR="00922142" w:rsidRDefault="00922142" w:rsidP="00E3376E">
      <w:pPr>
        <w:tabs>
          <w:tab w:val="left" w:pos="1080"/>
        </w:tabs>
        <w:spacing w:before="120" w:after="120" w:line="276" w:lineRule="auto"/>
        <w:ind w:firstLine="708"/>
        <w:jc w:val="both"/>
      </w:pPr>
    </w:p>
    <w:p w14:paraId="5C6078AE" w14:textId="2D4332C8" w:rsidR="00922142" w:rsidRPr="003C60F7" w:rsidRDefault="00922142" w:rsidP="00922142">
      <w:pPr>
        <w:tabs>
          <w:tab w:val="left" w:pos="709"/>
        </w:tabs>
        <w:spacing w:before="120" w:after="120"/>
        <w:jc w:val="both"/>
        <w:rPr>
          <w:b/>
        </w:rPr>
      </w:pPr>
      <w:r w:rsidRPr="003C60F7">
        <w:tab/>
      </w:r>
      <w:r w:rsidRPr="003C60F7">
        <w:rPr>
          <w:b/>
        </w:rPr>
        <w:t>V</w:t>
      </w:r>
      <w:r>
        <w:rPr>
          <w:b/>
          <w:lang w:val="en-GB"/>
        </w:rPr>
        <w:t>I</w:t>
      </w:r>
      <w:r w:rsidRPr="003C60F7">
        <w:rPr>
          <w:b/>
        </w:rPr>
        <w:t xml:space="preserve">II. </w:t>
      </w:r>
      <w:r>
        <w:rPr>
          <w:b/>
        </w:rPr>
        <w:t>Документи за доказване на изпълнение на дейностите</w:t>
      </w:r>
      <w:r w:rsidRPr="003C60F7">
        <w:rPr>
          <w:b/>
        </w:rPr>
        <w:t>:</w:t>
      </w:r>
    </w:p>
    <w:p w14:paraId="757EEB3D" w14:textId="14A4133C" w:rsidR="00922142" w:rsidRDefault="00922142" w:rsidP="00E3376E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 xml:space="preserve">Без значение дали възложителят е решил да възложи </w:t>
      </w:r>
      <w:r w:rsidRPr="00922142">
        <w:t>логистичните дейности на обучителната организация или директно на крайния изпълнител (транспортна фирма, хотел, доставчик на храна и др.)</w:t>
      </w:r>
      <w:r>
        <w:t>, в документацията на проекта трябва да се съдържат следните документи, доказващи изпълнението на дейностите</w:t>
      </w:r>
      <w:r w:rsidR="0053356A">
        <w:t xml:space="preserve"> и обосноваващи извършените разходи</w:t>
      </w:r>
      <w:r>
        <w:t>:</w:t>
      </w:r>
    </w:p>
    <w:p w14:paraId="04B9370D" w14:textId="17EE3174" w:rsidR="00922142" w:rsidRDefault="0053356A" w:rsidP="00922142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 xml:space="preserve">1. </w:t>
      </w:r>
      <w:r w:rsidR="00922142">
        <w:t>Учебна програма и график на обученията</w:t>
      </w:r>
      <w:r>
        <w:t xml:space="preserve"> – представя се от изпълнителя на обучението.</w:t>
      </w:r>
    </w:p>
    <w:p w14:paraId="23CE261E" w14:textId="7A814622" w:rsidR="0053356A" w:rsidRDefault="0053356A" w:rsidP="00922142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>2</w:t>
      </w:r>
      <w:r w:rsidR="00922142">
        <w:t>.</w:t>
      </w:r>
      <w:r w:rsidR="00922142">
        <w:tab/>
        <w:t>Списък на участниците за всеки присъствен ден на обучението, който съдържа № на договора за обучение, име на Бенефициента, име на проекта, № и наименование на дейността, място и дата на провеждане, трите имена на участниците, е-mail, телефон и подписи на участниците</w:t>
      </w:r>
      <w:r>
        <w:t xml:space="preserve"> – представя се от изпълнителя на обучението</w:t>
      </w:r>
      <w:r w:rsidR="00922142">
        <w:t xml:space="preserve">. </w:t>
      </w:r>
    </w:p>
    <w:p w14:paraId="50819848" w14:textId="508BAC46" w:rsidR="00922142" w:rsidRDefault="0053356A" w:rsidP="0053356A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>3. П</w:t>
      </w:r>
      <w:r w:rsidR="00922142">
        <w:t>резентации, материали, лекции, доклади и др</w:t>
      </w:r>
      <w:r>
        <w:t>уги подобни – представят се от изпълнителя на обучението;</w:t>
      </w:r>
    </w:p>
    <w:p w14:paraId="41B997A7" w14:textId="25B070CE" w:rsidR="0053356A" w:rsidRDefault="0053356A" w:rsidP="00922142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>4.</w:t>
      </w:r>
      <w:r>
        <w:tab/>
        <w:t>Удостоверения</w:t>
      </w:r>
      <w:r w:rsidR="00922142">
        <w:t xml:space="preserve"> с присъдени квалификационни кредити за педагогическите специалисти, завършили успешно обучение </w:t>
      </w:r>
      <w:r w:rsidRPr="0053356A">
        <w:t xml:space="preserve">– </w:t>
      </w:r>
      <w:r>
        <w:t xml:space="preserve">копия от издадените удостоверения </w:t>
      </w:r>
      <w:r w:rsidRPr="0053356A">
        <w:t>се представят от изпълнителя на обучението</w:t>
      </w:r>
      <w:r>
        <w:t>.</w:t>
      </w:r>
      <w:r w:rsidRPr="0053356A">
        <w:t xml:space="preserve"> </w:t>
      </w:r>
    </w:p>
    <w:p w14:paraId="24E71003" w14:textId="77777777" w:rsidR="0053356A" w:rsidRDefault="0053356A" w:rsidP="00922142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>5</w:t>
      </w:r>
      <w:r w:rsidR="00922142">
        <w:t>.</w:t>
      </w:r>
      <w:r w:rsidR="00922142">
        <w:tab/>
        <w:t xml:space="preserve">Снимков материал </w:t>
      </w:r>
      <w:r>
        <w:t xml:space="preserve">от проведеното обучение </w:t>
      </w:r>
      <w:r w:rsidRPr="0053356A">
        <w:t>– представя се от изпълнителя на обучението</w:t>
      </w:r>
      <w:r>
        <w:t>.</w:t>
      </w:r>
    </w:p>
    <w:p w14:paraId="4F47FBE1" w14:textId="77777777" w:rsidR="00657A78" w:rsidRPr="003C60F7" w:rsidRDefault="0053356A" w:rsidP="00922142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>6. Разходооправдателни документи за извършените разходи за транспорт</w:t>
      </w:r>
      <w:r w:rsidRPr="0053356A">
        <w:t xml:space="preserve"> </w:t>
      </w:r>
      <w:r>
        <w:t>или за възстановени п</w:t>
      </w:r>
      <w:r w:rsidR="00657A78" w:rsidRPr="003C60F7">
        <w:t xml:space="preserve">ътните разноски </w:t>
      </w:r>
      <w:r w:rsidRPr="0053356A">
        <w:t xml:space="preserve">– </w:t>
      </w:r>
      <w:r>
        <w:t>събирането им и представянето на възложителя е ангажимент на лицето или организацията, на което е възложена дейността</w:t>
      </w:r>
      <w:r w:rsidR="009A71C2" w:rsidRPr="003C60F7">
        <w:t>.</w:t>
      </w:r>
    </w:p>
    <w:p w14:paraId="7F6D5A10" w14:textId="238CDA65" w:rsidR="0053356A" w:rsidRDefault="0053356A" w:rsidP="0053356A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 xml:space="preserve">7. </w:t>
      </w:r>
      <w:r w:rsidRPr="0053356A">
        <w:t>Фактур</w:t>
      </w:r>
      <w:r>
        <w:t>и</w:t>
      </w:r>
      <w:r w:rsidRPr="0053356A">
        <w:t xml:space="preserve"> от </w:t>
      </w:r>
      <w:r>
        <w:t>изпълнителя на договора за</w:t>
      </w:r>
      <w:r w:rsidRPr="0053356A">
        <w:t xml:space="preserve"> обучение – представя се от изпълнителя на обучението</w:t>
      </w:r>
      <w:r>
        <w:t>.</w:t>
      </w:r>
    </w:p>
    <w:p w14:paraId="7CD1685D" w14:textId="059A9491" w:rsidR="0053356A" w:rsidRDefault="0053356A" w:rsidP="0053356A">
      <w:pPr>
        <w:tabs>
          <w:tab w:val="left" w:pos="1080"/>
        </w:tabs>
        <w:spacing w:before="120" w:after="120" w:line="276" w:lineRule="auto"/>
        <w:ind w:firstLine="708"/>
        <w:jc w:val="both"/>
      </w:pPr>
      <w:r>
        <w:t xml:space="preserve">8. </w:t>
      </w:r>
      <w:r w:rsidRPr="0053356A">
        <w:t>Фактур</w:t>
      </w:r>
      <w:r>
        <w:t>и</w:t>
      </w:r>
      <w:r w:rsidRPr="0053356A">
        <w:t xml:space="preserve"> от изпълнител</w:t>
      </w:r>
      <w:r>
        <w:t>ите на дейности по логистика, в случай че възложителят е възложил дейността директно на тях</w:t>
      </w:r>
      <w:r w:rsidRPr="0053356A">
        <w:t xml:space="preserve"> (транспортн</w:t>
      </w:r>
      <w:r>
        <w:t>и</w:t>
      </w:r>
      <w:r w:rsidRPr="0053356A">
        <w:t xml:space="preserve"> фирм</w:t>
      </w:r>
      <w:r>
        <w:t>и</w:t>
      </w:r>
      <w:r w:rsidRPr="0053356A">
        <w:t>, хотел</w:t>
      </w:r>
      <w:r>
        <w:t>и</w:t>
      </w:r>
      <w:r w:rsidRPr="0053356A">
        <w:t>, доставчи</w:t>
      </w:r>
      <w:r>
        <w:t>ци</w:t>
      </w:r>
      <w:r w:rsidRPr="0053356A">
        <w:t xml:space="preserve"> на храна</w:t>
      </w:r>
      <w:r>
        <w:t>, собственици на зали</w:t>
      </w:r>
      <w:r w:rsidRPr="0053356A">
        <w:t xml:space="preserve"> и др.)</w:t>
      </w:r>
      <w:r>
        <w:t xml:space="preserve"> – </w:t>
      </w:r>
      <w:r w:rsidR="0097338C">
        <w:t>представят се от изпълнителите.</w:t>
      </w:r>
    </w:p>
    <w:p w14:paraId="28C314DE" w14:textId="33FA3E32" w:rsidR="0053356A" w:rsidRPr="0053356A" w:rsidRDefault="0053356A" w:rsidP="0053356A">
      <w:pPr>
        <w:tabs>
          <w:tab w:val="left" w:pos="1080"/>
        </w:tabs>
        <w:spacing w:before="120" w:after="120" w:line="276" w:lineRule="auto"/>
        <w:ind w:firstLine="708"/>
        <w:jc w:val="both"/>
      </w:pPr>
      <w:r w:rsidRPr="0053356A">
        <w:t>9. Платежни нареждания и банкови извлечения, от които е видно извършеното плащане</w:t>
      </w:r>
      <w:r w:rsidR="0097338C">
        <w:t xml:space="preserve"> – създават се от възложителя</w:t>
      </w:r>
      <w:r w:rsidRPr="0053356A">
        <w:t>.</w:t>
      </w:r>
    </w:p>
    <w:p w14:paraId="1796C4ED" w14:textId="4174600D" w:rsidR="00657A78" w:rsidRPr="003C60F7" w:rsidRDefault="0053356A" w:rsidP="0053356A">
      <w:pPr>
        <w:tabs>
          <w:tab w:val="left" w:pos="1080"/>
        </w:tabs>
        <w:spacing w:before="120" w:after="120" w:line="276" w:lineRule="auto"/>
        <w:ind w:firstLine="708"/>
        <w:jc w:val="both"/>
      </w:pPr>
      <w:r w:rsidRPr="0053356A">
        <w:t>10. Документ от хотел за реализираните нощувки</w:t>
      </w:r>
      <w:r w:rsidR="0097338C">
        <w:t xml:space="preserve"> – представят се от изпълнителя на дейността</w:t>
      </w:r>
      <w:r w:rsidRPr="0053356A">
        <w:t>.</w:t>
      </w:r>
    </w:p>
    <w:sectPr w:rsidR="00657A78" w:rsidRPr="003C60F7" w:rsidSect="00703060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7EB8" w14:textId="77777777" w:rsidR="00B24794" w:rsidRDefault="00B24794" w:rsidP="00C5450D">
      <w:r>
        <w:separator/>
      </w:r>
    </w:p>
  </w:endnote>
  <w:endnote w:type="continuationSeparator" w:id="0">
    <w:p w14:paraId="6F8A0888" w14:textId="77777777" w:rsidR="00B24794" w:rsidRDefault="00B2479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EECC" w14:textId="77777777" w:rsidR="00497DDC" w:rsidRDefault="00497DD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D0BEBC3" w14:textId="77777777" w:rsidR="00497DDC" w:rsidRPr="004031DC" w:rsidRDefault="00497DDC" w:rsidP="00C5450D">
    <w:pPr>
      <w:pStyle w:val="Footer"/>
      <w:jc w:val="center"/>
      <w:rPr>
        <w:i/>
        <w:sz w:val="12"/>
        <w:szCs w:val="12"/>
        <w:lang w:val="en-US"/>
      </w:rPr>
    </w:pPr>
  </w:p>
  <w:p w14:paraId="6309C57C" w14:textId="77777777" w:rsidR="00210459" w:rsidRPr="00BD0B9C" w:rsidRDefault="00210459" w:rsidP="00210459">
    <w:pPr>
      <w:tabs>
        <w:tab w:val="center" w:pos="4536"/>
        <w:tab w:val="right" w:pos="8647"/>
        <w:tab w:val="right" w:pos="9072"/>
      </w:tabs>
      <w:jc w:val="center"/>
      <w:rPr>
        <w:i/>
        <w:sz w:val="20"/>
      </w:rPr>
    </w:pPr>
    <w:r w:rsidRPr="00235DF7">
      <w:rPr>
        <w:i/>
        <w:sz w:val="20"/>
      </w:rPr>
      <w:t>Проект  BG05M2OP001-2.012-0001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495A" w14:textId="77777777" w:rsidR="00B24794" w:rsidRDefault="00B24794" w:rsidP="00C5450D">
      <w:r>
        <w:separator/>
      </w:r>
    </w:p>
  </w:footnote>
  <w:footnote w:type="continuationSeparator" w:id="0">
    <w:p w14:paraId="56D61D51" w14:textId="77777777" w:rsidR="00B24794" w:rsidRDefault="00B24794" w:rsidP="00C5450D">
      <w:r>
        <w:continuationSeparator/>
      </w:r>
    </w:p>
  </w:footnote>
  <w:footnote w:id="1">
    <w:p w14:paraId="61C61E2B" w14:textId="3DB32963" w:rsidR="00497DDC" w:rsidRPr="007D58BB" w:rsidRDefault="00497DDC" w:rsidP="00C86925">
      <w:pPr>
        <w:pStyle w:val="FootnoteText"/>
        <w:jc w:val="both"/>
        <w:rPr>
          <w:i/>
          <w:lang w:val="bg-BG"/>
        </w:rPr>
      </w:pPr>
      <w:r w:rsidRPr="007D58BB">
        <w:rPr>
          <w:rStyle w:val="FootnoteReference"/>
          <w:i/>
        </w:rPr>
        <w:footnoteRef/>
      </w:r>
      <w:r w:rsidRPr="007D58BB">
        <w:rPr>
          <w:i/>
        </w:rPr>
        <w:t xml:space="preserve"> </w:t>
      </w:r>
      <w:r w:rsidRPr="007D58BB">
        <w:rPr>
          <w:i/>
          <w:lang w:val="bg-BG"/>
        </w:rPr>
        <w:t>* В настоящ</w:t>
      </w:r>
      <w:r w:rsidR="00922142">
        <w:rPr>
          <w:i/>
          <w:lang w:val="bg-BG"/>
        </w:rPr>
        <w:t>ото</w:t>
      </w:r>
      <w:r w:rsidRPr="007D58BB">
        <w:rPr>
          <w:i/>
          <w:lang w:val="bg-BG"/>
        </w:rPr>
        <w:t xml:space="preserve"> </w:t>
      </w:r>
      <w:r w:rsidR="00922142">
        <w:rPr>
          <w:i/>
          <w:lang w:val="bg-BG"/>
        </w:rPr>
        <w:t>задание</w:t>
      </w:r>
      <w:r w:rsidRPr="007D58BB">
        <w:rPr>
          <w:i/>
          <w:lang w:val="bg-BG"/>
        </w:rPr>
        <w:t xml:space="preserve"> думата „хотели” се използва в придобилият гражданственост смисъл на събирателна дума за назоваване местата за нощувка</w:t>
      </w:r>
      <w:r w:rsidRPr="007D58BB">
        <w:rPr>
          <w:i/>
          <w:lang w:val="en-US"/>
        </w:rPr>
        <w:t xml:space="preserve">. </w:t>
      </w:r>
      <w:r w:rsidRPr="007D58BB">
        <w:rPr>
          <w:i/>
          <w:lang w:val="bg-BG"/>
        </w:rPr>
        <w:t>В тази група попадат както хотелите, така и останалите средства за подслон и места за настаняване по смисъла на Закона за туризма, в които участникът е предложил да бъдат наста</w:t>
      </w:r>
      <w:r>
        <w:rPr>
          <w:i/>
          <w:lang w:val="bg-BG"/>
        </w:rPr>
        <w:t xml:space="preserve">нявани участниците в обучението, както и собствените бази на изпълнителя, които могат да бъдат използвани за организиране на нощувките.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C128" w14:textId="77777777" w:rsidR="00497DDC" w:rsidRDefault="00497DDC" w:rsidP="00483CF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F352EE">
      <w:rPr>
        <w:noProof/>
        <w:lang w:val="en-US" w:eastAsia="en-US"/>
      </w:rPr>
      <w:drawing>
        <wp:inline distT="0" distB="0" distL="0" distR="0" wp14:anchorId="331EC06D" wp14:editId="3DC8D3DD">
          <wp:extent cx="2476500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 w:rsidRPr="00F352EE">
      <w:rPr>
        <w:noProof/>
        <w:lang w:val="en-US" w:eastAsia="en-US"/>
      </w:rPr>
      <w:drawing>
        <wp:inline distT="0" distB="0" distL="0" distR="0" wp14:anchorId="5C749CF3" wp14:editId="00B6040D">
          <wp:extent cx="2352675" cy="82867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DE2A4" w14:textId="77777777" w:rsidR="00497DDC" w:rsidRPr="00C5450D" w:rsidRDefault="00497D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BE"/>
    <w:multiLevelType w:val="hybridMultilevel"/>
    <w:tmpl w:val="8C22642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05C5F"/>
    <w:multiLevelType w:val="hybridMultilevel"/>
    <w:tmpl w:val="7EF648E0"/>
    <w:lvl w:ilvl="0" w:tplc="CBA4C7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6CB"/>
    <w:multiLevelType w:val="hybridMultilevel"/>
    <w:tmpl w:val="F02458B6"/>
    <w:lvl w:ilvl="0" w:tplc="A1605F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874F9"/>
    <w:multiLevelType w:val="multilevel"/>
    <w:tmpl w:val="5002B5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4" w15:restartNumberingAfterBreak="0">
    <w:nsid w:val="21493729"/>
    <w:multiLevelType w:val="hybridMultilevel"/>
    <w:tmpl w:val="A6E054E2"/>
    <w:lvl w:ilvl="0" w:tplc="D88E69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0A44DD"/>
    <w:multiLevelType w:val="hybridMultilevel"/>
    <w:tmpl w:val="7B1A38D4"/>
    <w:lvl w:ilvl="0" w:tplc="AF5846CC">
      <w:start w:val="9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2D8D"/>
    <w:multiLevelType w:val="hybridMultilevel"/>
    <w:tmpl w:val="D6ECD29C"/>
    <w:lvl w:ilvl="0" w:tplc="819A9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A12F6C"/>
    <w:multiLevelType w:val="hybridMultilevel"/>
    <w:tmpl w:val="C2C238DC"/>
    <w:lvl w:ilvl="0" w:tplc="0BF874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85906"/>
    <w:multiLevelType w:val="hybridMultilevel"/>
    <w:tmpl w:val="073E3C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44F70"/>
    <w:multiLevelType w:val="hybridMultilevel"/>
    <w:tmpl w:val="BCAED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823"/>
    <w:rsid w:val="000020C0"/>
    <w:rsid w:val="0000542C"/>
    <w:rsid w:val="000071A9"/>
    <w:rsid w:val="00014033"/>
    <w:rsid w:val="00014267"/>
    <w:rsid w:val="000244D6"/>
    <w:rsid w:val="00027D9B"/>
    <w:rsid w:val="00037B19"/>
    <w:rsid w:val="000470DF"/>
    <w:rsid w:val="00047DDE"/>
    <w:rsid w:val="0007090C"/>
    <w:rsid w:val="000746F5"/>
    <w:rsid w:val="00075DE4"/>
    <w:rsid w:val="00080A61"/>
    <w:rsid w:val="000A31F3"/>
    <w:rsid w:val="000A32D8"/>
    <w:rsid w:val="000A79C7"/>
    <w:rsid w:val="000B2470"/>
    <w:rsid w:val="000B7E9B"/>
    <w:rsid w:val="000C108F"/>
    <w:rsid w:val="000E4B0B"/>
    <w:rsid w:val="000E761D"/>
    <w:rsid w:val="000F1A76"/>
    <w:rsid w:val="001067C8"/>
    <w:rsid w:val="001123C9"/>
    <w:rsid w:val="0011404C"/>
    <w:rsid w:val="00115126"/>
    <w:rsid w:val="00117906"/>
    <w:rsid w:val="0012205A"/>
    <w:rsid w:val="00123D18"/>
    <w:rsid w:val="00127AB7"/>
    <w:rsid w:val="00130313"/>
    <w:rsid w:val="001359E9"/>
    <w:rsid w:val="00141F33"/>
    <w:rsid w:val="00142E21"/>
    <w:rsid w:val="0014604E"/>
    <w:rsid w:val="00162317"/>
    <w:rsid w:val="0017281A"/>
    <w:rsid w:val="001728DB"/>
    <w:rsid w:val="00173614"/>
    <w:rsid w:val="00175B77"/>
    <w:rsid w:val="001875B7"/>
    <w:rsid w:val="00191515"/>
    <w:rsid w:val="00192CD8"/>
    <w:rsid w:val="00195672"/>
    <w:rsid w:val="00195B79"/>
    <w:rsid w:val="001A7438"/>
    <w:rsid w:val="001B50DA"/>
    <w:rsid w:val="001B5732"/>
    <w:rsid w:val="001B7799"/>
    <w:rsid w:val="001E02CE"/>
    <w:rsid w:val="001E3816"/>
    <w:rsid w:val="001E46F3"/>
    <w:rsid w:val="001F408A"/>
    <w:rsid w:val="00203A30"/>
    <w:rsid w:val="002101CB"/>
    <w:rsid w:val="00210459"/>
    <w:rsid w:val="00212801"/>
    <w:rsid w:val="0023000A"/>
    <w:rsid w:val="00234456"/>
    <w:rsid w:val="00240785"/>
    <w:rsid w:val="00252112"/>
    <w:rsid w:val="00255326"/>
    <w:rsid w:val="002562FB"/>
    <w:rsid w:val="00262E0B"/>
    <w:rsid w:val="00263259"/>
    <w:rsid w:val="00281C22"/>
    <w:rsid w:val="00282007"/>
    <w:rsid w:val="00285A16"/>
    <w:rsid w:val="00285DF0"/>
    <w:rsid w:val="00287F78"/>
    <w:rsid w:val="002904E4"/>
    <w:rsid w:val="00297BBA"/>
    <w:rsid w:val="002A1B9D"/>
    <w:rsid w:val="002A4C80"/>
    <w:rsid w:val="002B1BE2"/>
    <w:rsid w:val="002B7410"/>
    <w:rsid w:val="002C0C46"/>
    <w:rsid w:val="002C4D9A"/>
    <w:rsid w:val="002C5A74"/>
    <w:rsid w:val="002D2957"/>
    <w:rsid w:val="002F0389"/>
    <w:rsid w:val="002F4C49"/>
    <w:rsid w:val="00307CA6"/>
    <w:rsid w:val="003109F9"/>
    <w:rsid w:val="003140E7"/>
    <w:rsid w:val="003202FF"/>
    <w:rsid w:val="00324CA9"/>
    <w:rsid w:val="00326A30"/>
    <w:rsid w:val="00334C18"/>
    <w:rsid w:val="00350E15"/>
    <w:rsid w:val="003541B6"/>
    <w:rsid w:val="003617F3"/>
    <w:rsid w:val="003652E7"/>
    <w:rsid w:val="003660AA"/>
    <w:rsid w:val="00374706"/>
    <w:rsid w:val="0037583A"/>
    <w:rsid w:val="003765BA"/>
    <w:rsid w:val="00383C54"/>
    <w:rsid w:val="003864D5"/>
    <w:rsid w:val="00386E1E"/>
    <w:rsid w:val="00392E0B"/>
    <w:rsid w:val="00396631"/>
    <w:rsid w:val="003A64F1"/>
    <w:rsid w:val="003B1FFC"/>
    <w:rsid w:val="003B2126"/>
    <w:rsid w:val="003B7936"/>
    <w:rsid w:val="003C0DE0"/>
    <w:rsid w:val="003C4E72"/>
    <w:rsid w:val="003C60F7"/>
    <w:rsid w:val="003D08D4"/>
    <w:rsid w:val="003D19AA"/>
    <w:rsid w:val="003D3E76"/>
    <w:rsid w:val="003D4E7F"/>
    <w:rsid w:val="003D5425"/>
    <w:rsid w:val="003F79E4"/>
    <w:rsid w:val="004031DC"/>
    <w:rsid w:val="00420542"/>
    <w:rsid w:val="0042327E"/>
    <w:rsid w:val="0043628D"/>
    <w:rsid w:val="00437205"/>
    <w:rsid w:val="00437385"/>
    <w:rsid w:val="00453055"/>
    <w:rsid w:val="00453214"/>
    <w:rsid w:val="00480328"/>
    <w:rsid w:val="00481BB9"/>
    <w:rsid w:val="00483CF6"/>
    <w:rsid w:val="00487DEB"/>
    <w:rsid w:val="00497DDC"/>
    <w:rsid w:val="004A5300"/>
    <w:rsid w:val="004C5842"/>
    <w:rsid w:val="004C797E"/>
    <w:rsid w:val="004C7BF5"/>
    <w:rsid w:val="004D21D9"/>
    <w:rsid w:val="004D597A"/>
    <w:rsid w:val="004E09B2"/>
    <w:rsid w:val="004E3681"/>
    <w:rsid w:val="004E4C64"/>
    <w:rsid w:val="004E6B47"/>
    <w:rsid w:val="004F4D1A"/>
    <w:rsid w:val="004F667F"/>
    <w:rsid w:val="00504904"/>
    <w:rsid w:val="0051261D"/>
    <w:rsid w:val="00514B23"/>
    <w:rsid w:val="005172A7"/>
    <w:rsid w:val="00517346"/>
    <w:rsid w:val="0051746B"/>
    <w:rsid w:val="005259E1"/>
    <w:rsid w:val="0053356A"/>
    <w:rsid w:val="0055167A"/>
    <w:rsid w:val="00552EC1"/>
    <w:rsid w:val="00553A9D"/>
    <w:rsid w:val="00554229"/>
    <w:rsid w:val="00557F6C"/>
    <w:rsid w:val="00563136"/>
    <w:rsid w:val="0056561A"/>
    <w:rsid w:val="00575E33"/>
    <w:rsid w:val="00592E2B"/>
    <w:rsid w:val="00593DA9"/>
    <w:rsid w:val="005A7EAE"/>
    <w:rsid w:val="005B18C1"/>
    <w:rsid w:val="005C31CC"/>
    <w:rsid w:val="005D0273"/>
    <w:rsid w:val="005D12A0"/>
    <w:rsid w:val="005E2AEA"/>
    <w:rsid w:val="005E37B0"/>
    <w:rsid w:val="005E74C3"/>
    <w:rsid w:val="0060529D"/>
    <w:rsid w:val="00613BEB"/>
    <w:rsid w:val="00614613"/>
    <w:rsid w:val="0061504F"/>
    <w:rsid w:val="006157C1"/>
    <w:rsid w:val="006229E2"/>
    <w:rsid w:val="00625CAC"/>
    <w:rsid w:val="006273F0"/>
    <w:rsid w:val="0063654F"/>
    <w:rsid w:val="00637DC8"/>
    <w:rsid w:val="006427AB"/>
    <w:rsid w:val="00644EA2"/>
    <w:rsid w:val="0065193E"/>
    <w:rsid w:val="00654370"/>
    <w:rsid w:val="006569FA"/>
    <w:rsid w:val="00657A78"/>
    <w:rsid w:val="006647E9"/>
    <w:rsid w:val="00671544"/>
    <w:rsid w:val="00672EBC"/>
    <w:rsid w:val="00677149"/>
    <w:rsid w:val="00682544"/>
    <w:rsid w:val="00682823"/>
    <w:rsid w:val="00684BCD"/>
    <w:rsid w:val="00693EFD"/>
    <w:rsid w:val="006B7C00"/>
    <w:rsid w:val="006C2F55"/>
    <w:rsid w:val="006C62D0"/>
    <w:rsid w:val="006C7F63"/>
    <w:rsid w:val="006D79DD"/>
    <w:rsid w:val="006D7E49"/>
    <w:rsid w:val="006E31C0"/>
    <w:rsid w:val="006E33E1"/>
    <w:rsid w:val="006F12CA"/>
    <w:rsid w:val="00703060"/>
    <w:rsid w:val="00705283"/>
    <w:rsid w:val="00713782"/>
    <w:rsid w:val="00715D4B"/>
    <w:rsid w:val="0071721E"/>
    <w:rsid w:val="007204D0"/>
    <w:rsid w:val="007274F6"/>
    <w:rsid w:val="00731E04"/>
    <w:rsid w:val="00735507"/>
    <w:rsid w:val="007430A2"/>
    <w:rsid w:val="00743A0C"/>
    <w:rsid w:val="0074660F"/>
    <w:rsid w:val="00750E00"/>
    <w:rsid w:val="00754563"/>
    <w:rsid w:val="00760ED5"/>
    <w:rsid w:val="00761121"/>
    <w:rsid w:val="00762073"/>
    <w:rsid w:val="00772E25"/>
    <w:rsid w:val="00780BFD"/>
    <w:rsid w:val="007A0418"/>
    <w:rsid w:val="007A61AD"/>
    <w:rsid w:val="007C4524"/>
    <w:rsid w:val="007C5B5B"/>
    <w:rsid w:val="007C743D"/>
    <w:rsid w:val="007D3C9F"/>
    <w:rsid w:val="007F5026"/>
    <w:rsid w:val="0080593E"/>
    <w:rsid w:val="008141DB"/>
    <w:rsid w:val="0081669E"/>
    <w:rsid w:val="00817B65"/>
    <w:rsid w:val="008223A8"/>
    <w:rsid w:val="008327BF"/>
    <w:rsid w:val="00843BB8"/>
    <w:rsid w:val="00854613"/>
    <w:rsid w:val="0085622E"/>
    <w:rsid w:val="00864CB6"/>
    <w:rsid w:val="008651F9"/>
    <w:rsid w:val="00880FDF"/>
    <w:rsid w:val="0088212B"/>
    <w:rsid w:val="00893E5C"/>
    <w:rsid w:val="008A2944"/>
    <w:rsid w:val="008A4B44"/>
    <w:rsid w:val="008B1305"/>
    <w:rsid w:val="008C0A0D"/>
    <w:rsid w:val="008D3779"/>
    <w:rsid w:val="008E4FBC"/>
    <w:rsid w:val="008E4FEE"/>
    <w:rsid w:val="008E6F94"/>
    <w:rsid w:val="008F7BA7"/>
    <w:rsid w:val="00902DB6"/>
    <w:rsid w:val="00905FDE"/>
    <w:rsid w:val="009179FE"/>
    <w:rsid w:val="0092107B"/>
    <w:rsid w:val="00922142"/>
    <w:rsid w:val="00922647"/>
    <w:rsid w:val="00923276"/>
    <w:rsid w:val="00924251"/>
    <w:rsid w:val="0092506C"/>
    <w:rsid w:val="0092644B"/>
    <w:rsid w:val="00936F25"/>
    <w:rsid w:val="00945ECF"/>
    <w:rsid w:val="0094615C"/>
    <w:rsid w:val="00946DDB"/>
    <w:rsid w:val="00953DFB"/>
    <w:rsid w:val="00954B1F"/>
    <w:rsid w:val="00957235"/>
    <w:rsid w:val="00957241"/>
    <w:rsid w:val="0096048C"/>
    <w:rsid w:val="009656D9"/>
    <w:rsid w:val="0097009C"/>
    <w:rsid w:val="0097338C"/>
    <w:rsid w:val="009745A9"/>
    <w:rsid w:val="00980A1F"/>
    <w:rsid w:val="0099034D"/>
    <w:rsid w:val="00990C9F"/>
    <w:rsid w:val="00995DAF"/>
    <w:rsid w:val="00996928"/>
    <w:rsid w:val="009A54D0"/>
    <w:rsid w:val="009A71C2"/>
    <w:rsid w:val="009B42C9"/>
    <w:rsid w:val="009C1D21"/>
    <w:rsid w:val="009C4373"/>
    <w:rsid w:val="009D0EA4"/>
    <w:rsid w:val="009D3F7A"/>
    <w:rsid w:val="009E3BC5"/>
    <w:rsid w:val="009E7F03"/>
    <w:rsid w:val="009F0CB4"/>
    <w:rsid w:val="009F73E7"/>
    <w:rsid w:val="00A20E3F"/>
    <w:rsid w:val="00A21A8F"/>
    <w:rsid w:val="00A22D87"/>
    <w:rsid w:val="00A255FA"/>
    <w:rsid w:val="00A341A4"/>
    <w:rsid w:val="00A35178"/>
    <w:rsid w:val="00A401CE"/>
    <w:rsid w:val="00A46BEF"/>
    <w:rsid w:val="00A5070A"/>
    <w:rsid w:val="00A5094F"/>
    <w:rsid w:val="00A52B60"/>
    <w:rsid w:val="00A53AF2"/>
    <w:rsid w:val="00A73E29"/>
    <w:rsid w:val="00A93835"/>
    <w:rsid w:val="00AA0979"/>
    <w:rsid w:val="00AA18D9"/>
    <w:rsid w:val="00AA38B5"/>
    <w:rsid w:val="00AB467B"/>
    <w:rsid w:val="00AB633E"/>
    <w:rsid w:val="00AC02B0"/>
    <w:rsid w:val="00AC154D"/>
    <w:rsid w:val="00AC22D1"/>
    <w:rsid w:val="00AD7605"/>
    <w:rsid w:val="00AF2E6A"/>
    <w:rsid w:val="00B05482"/>
    <w:rsid w:val="00B21105"/>
    <w:rsid w:val="00B222D0"/>
    <w:rsid w:val="00B24794"/>
    <w:rsid w:val="00B30174"/>
    <w:rsid w:val="00B336D5"/>
    <w:rsid w:val="00B362E8"/>
    <w:rsid w:val="00B44CD3"/>
    <w:rsid w:val="00B60A7B"/>
    <w:rsid w:val="00B60C6D"/>
    <w:rsid w:val="00B737B8"/>
    <w:rsid w:val="00B804AE"/>
    <w:rsid w:val="00B80F24"/>
    <w:rsid w:val="00B83122"/>
    <w:rsid w:val="00B83454"/>
    <w:rsid w:val="00B859C9"/>
    <w:rsid w:val="00B865E7"/>
    <w:rsid w:val="00B93CF1"/>
    <w:rsid w:val="00BA2898"/>
    <w:rsid w:val="00BA2D24"/>
    <w:rsid w:val="00BA444A"/>
    <w:rsid w:val="00BB0AC8"/>
    <w:rsid w:val="00BB0DA2"/>
    <w:rsid w:val="00BC4F20"/>
    <w:rsid w:val="00BC5C2F"/>
    <w:rsid w:val="00BC6C41"/>
    <w:rsid w:val="00BF3464"/>
    <w:rsid w:val="00BF70DF"/>
    <w:rsid w:val="00C01C2F"/>
    <w:rsid w:val="00C052C2"/>
    <w:rsid w:val="00C076E3"/>
    <w:rsid w:val="00C12ECE"/>
    <w:rsid w:val="00C137A9"/>
    <w:rsid w:val="00C1673C"/>
    <w:rsid w:val="00C27DC3"/>
    <w:rsid w:val="00C30F3A"/>
    <w:rsid w:val="00C46570"/>
    <w:rsid w:val="00C46D65"/>
    <w:rsid w:val="00C5450D"/>
    <w:rsid w:val="00C57A4B"/>
    <w:rsid w:val="00C62B1A"/>
    <w:rsid w:val="00C654D0"/>
    <w:rsid w:val="00C65A7A"/>
    <w:rsid w:val="00C803CF"/>
    <w:rsid w:val="00C86925"/>
    <w:rsid w:val="00C876A7"/>
    <w:rsid w:val="00C910FB"/>
    <w:rsid w:val="00C91B94"/>
    <w:rsid w:val="00C928BA"/>
    <w:rsid w:val="00C94324"/>
    <w:rsid w:val="00CA3774"/>
    <w:rsid w:val="00CC1362"/>
    <w:rsid w:val="00CC1EA1"/>
    <w:rsid w:val="00CC2E7E"/>
    <w:rsid w:val="00CC4031"/>
    <w:rsid w:val="00CC5260"/>
    <w:rsid w:val="00CD2B0A"/>
    <w:rsid w:val="00CE7F3F"/>
    <w:rsid w:val="00CF3AA2"/>
    <w:rsid w:val="00CF4AF7"/>
    <w:rsid w:val="00D05486"/>
    <w:rsid w:val="00D20451"/>
    <w:rsid w:val="00D216A2"/>
    <w:rsid w:val="00D23850"/>
    <w:rsid w:val="00D3362F"/>
    <w:rsid w:val="00D35413"/>
    <w:rsid w:val="00D3671F"/>
    <w:rsid w:val="00D37D09"/>
    <w:rsid w:val="00D44CFD"/>
    <w:rsid w:val="00D476D8"/>
    <w:rsid w:val="00D573C7"/>
    <w:rsid w:val="00D600EA"/>
    <w:rsid w:val="00D60EF0"/>
    <w:rsid w:val="00D611F4"/>
    <w:rsid w:val="00D6382A"/>
    <w:rsid w:val="00D64192"/>
    <w:rsid w:val="00D64B39"/>
    <w:rsid w:val="00D67755"/>
    <w:rsid w:val="00D70D44"/>
    <w:rsid w:val="00D7417B"/>
    <w:rsid w:val="00D77B0D"/>
    <w:rsid w:val="00D844FE"/>
    <w:rsid w:val="00D85086"/>
    <w:rsid w:val="00D906EC"/>
    <w:rsid w:val="00DA1C3A"/>
    <w:rsid w:val="00DA7C35"/>
    <w:rsid w:val="00DA7EC9"/>
    <w:rsid w:val="00DB1B36"/>
    <w:rsid w:val="00DB3FB4"/>
    <w:rsid w:val="00DD5688"/>
    <w:rsid w:val="00DD65D8"/>
    <w:rsid w:val="00DD7DB4"/>
    <w:rsid w:val="00DE29C6"/>
    <w:rsid w:val="00DE614C"/>
    <w:rsid w:val="00DE6CBF"/>
    <w:rsid w:val="00E10ECD"/>
    <w:rsid w:val="00E2619F"/>
    <w:rsid w:val="00E27A44"/>
    <w:rsid w:val="00E3376E"/>
    <w:rsid w:val="00E52644"/>
    <w:rsid w:val="00E551E5"/>
    <w:rsid w:val="00E57642"/>
    <w:rsid w:val="00E60BE1"/>
    <w:rsid w:val="00E66726"/>
    <w:rsid w:val="00E67921"/>
    <w:rsid w:val="00E70057"/>
    <w:rsid w:val="00E729C3"/>
    <w:rsid w:val="00E73418"/>
    <w:rsid w:val="00E74D76"/>
    <w:rsid w:val="00E7732D"/>
    <w:rsid w:val="00E81232"/>
    <w:rsid w:val="00E85587"/>
    <w:rsid w:val="00E95C2D"/>
    <w:rsid w:val="00E96281"/>
    <w:rsid w:val="00EA58CE"/>
    <w:rsid w:val="00EB0CAC"/>
    <w:rsid w:val="00EB0E16"/>
    <w:rsid w:val="00EB52CA"/>
    <w:rsid w:val="00EB7133"/>
    <w:rsid w:val="00EC0D52"/>
    <w:rsid w:val="00EC0F8B"/>
    <w:rsid w:val="00ED03E6"/>
    <w:rsid w:val="00ED1BA0"/>
    <w:rsid w:val="00ED3605"/>
    <w:rsid w:val="00EF0807"/>
    <w:rsid w:val="00F04799"/>
    <w:rsid w:val="00F12FC8"/>
    <w:rsid w:val="00F23A1A"/>
    <w:rsid w:val="00F37776"/>
    <w:rsid w:val="00F41CD1"/>
    <w:rsid w:val="00F43756"/>
    <w:rsid w:val="00F6293B"/>
    <w:rsid w:val="00F62DE3"/>
    <w:rsid w:val="00F71229"/>
    <w:rsid w:val="00F81F66"/>
    <w:rsid w:val="00F84F4C"/>
    <w:rsid w:val="00F9656D"/>
    <w:rsid w:val="00FA689E"/>
    <w:rsid w:val="00FA72B0"/>
    <w:rsid w:val="00FB02D9"/>
    <w:rsid w:val="00FB0F3A"/>
    <w:rsid w:val="00FF119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0FD8F"/>
  <w15:chartTrackingRefBased/>
  <w15:docId w15:val="{59B13AEE-0D2B-4032-8A6C-1AF10CC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3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6E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6E31C0"/>
    <w:rPr>
      <w:rFonts w:ascii="Calibri" w:eastAsia="Calibri" w:hAnsi="Calibri"/>
      <w:sz w:val="22"/>
      <w:szCs w:val="22"/>
      <w:lang w:val="x-none" w:eastAsia="en-US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86925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rsid w:val="00C86925"/>
    <w:rPr>
      <w:lang w:val="en-GB" w:eastAsia="en-US"/>
    </w:rPr>
  </w:style>
  <w:style w:type="character" w:styleId="FootnoteReference">
    <w:name w:val="footnote reference"/>
    <w:semiHidden/>
    <w:rsid w:val="00C86925"/>
    <w:rPr>
      <w:vertAlign w:val="superscript"/>
    </w:rPr>
  </w:style>
  <w:style w:type="paragraph" w:customStyle="1" w:styleId="Text1">
    <w:name w:val="Text 1"/>
    <w:basedOn w:val="Normal"/>
    <w:rsid w:val="007C5B5B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Text2">
    <w:name w:val="Text 2"/>
    <w:basedOn w:val="Normal"/>
    <w:rsid w:val="00657A78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141F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33"/>
    <w:rPr>
      <w:b/>
      <w:bCs/>
    </w:rPr>
  </w:style>
  <w:style w:type="character" w:customStyle="1" w:styleId="CommentSubjectChar">
    <w:name w:val="Comment Subject Char"/>
    <w:link w:val="CommentSubject"/>
    <w:semiHidden/>
    <w:rsid w:val="00141F33"/>
    <w:rPr>
      <w:b/>
      <w:bCs/>
    </w:rPr>
  </w:style>
  <w:style w:type="paragraph" w:customStyle="1" w:styleId="Default">
    <w:name w:val="Default"/>
    <w:uiPriority w:val="99"/>
    <w:rsid w:val="009F0CB4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rsid w:val="009F0CB4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10661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12371</CharactersWithSpaces>
  <SharedDoc>false</SharedDoc>
  <HLinks>
    <vt:vector size="12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http://sf.mon.bg/?go=pageamp;pageId=67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Liliya Damyanova</cp:lastModifiedBy>
  <cp:revision>2</cp:revision>
  <cp:lastPrinted>2020-03-12T09:17:00Z</cp:lastPrinted>
  <dcterms:created xsi:type="dcterms:W3CDTF">2020-03-26T14:23:00Z</dcterms:created>
  <dcterms:modified xsi:type="dcterms:W3CDTF">2020-03-26T14:23:00Z</dcterms:modified>
</cp:coreProperties>
</file>